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w:t>
      </w:r>
      <w:r w:rsidR="00FE2FA5">
        <w:rPr>
          <w:rFonts w:ascii="Palatino Linotype" w:eastAsiaTheme="minorHAnsi" w:hAnsi="Palatino Linotype" w:cstheme="minorBidi"/>
          <w:b/>
        </w:rPr>
        <w:t>2</w:t>
      </w:r>
      <w:bookmarkStart w:id="0" w:name="_GoBack"/>
      <w:bookmarkEnd w:id="0"/>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w:t>
      </w:r>
      <w:r w:rsidR="009716FF">
        <w:rPr>
          <w:rFonts w:ascii="Palatino Linotype" w:hAnsi="Palatino Linotype"/>
        </w:rPr>
        <w:t>2</w:t>
      </w:r>
      <w:r w:rsidR="0092226F">
        <w:rPr>
          <w:rFonts w:ascii="Palatino Linotype" w:hAnsi="Palatino Linotype"/>
        </w:rPr>
        <w:t>1</w:t>
      </w:r>
      <w:r w:rsidRPr="006D6598">
        <w:rPr>
          <w:rFonts w:ascii="Palatino Linotype" w:hAnsi="Palatino Linotype"/>
        </w:rPr>
        <w:t xml:space="preserve"> through June 30, 20</w:t>
      </w:r>
      <w:r w:rsidR="00564051">
        <w:rPr>
          <w:rFonts w:ascii="Palatino Linotype" w:hAnsi="Palatino Linotype"/>
        </w:rPr>
        <w:t>2</w:t>
      </w:r>
      <w:r w:rsidR="0092226F">
        <w:rPr>
          <w:rFonts w:ascii="Palatino Linotype" w:hAnsi="Palatino Linotype"/>
        </w:rPr>
        <w:t>2</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For all plans, retirement benefits are based on a formula which multiplies the final average compensation by the </w:t>
      </w:r>
      <w:r w:rsidR="00027277">
        <w:rPr>
          <w:rFonts w:ascii="Palatino Linotype" w:eastAsiaTheme="minorHAnsi" w:hAnsi="Palatino Linotype" w:cs="Byington"/>
          <w:color w:val="000000"/>
        </w:rPr>
        <w:t>benefit factor</w:t>
      </w:r>
      <w:r w:rsidRPr="00A756A9">
        <w:rPr>
          <w:rFonts w:ascii="Palatino Linotype" w:eastAsiaTheme="minorHAnsi" w:hAnsi="Palatino Linotype" w:cs="Byington"/>
          <w:color w:val="000000"/>
        </w:rPr>
        <w:t>,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bookmarkStart w:id="1" w:name="_Hlk67305088"/>
      <w:r w:rsidRPr="00A756A9">
        <w:rPr>
          <w:rFonts w:ascii="Palatino Linotype" w:eastAsiaTheme="minorHAnsi" w:hAnsi="Palatino Linotype" w:cs="Byington"/>
          <w:b/>
          <w:bCs/>
          <w:u w:val="thick"/>
        </w:rPr>
        <w:t>Payment Options</w:t>
      </w:r>
    </w:p>
    <w:p w:rsidR="00202D35" w:rsidRDefault="00A756A9" w:rsidP="00202D35">
      <w:pPr>
        <w:autoSpaceDE w:val="0"/>
        <w:autoSpaceDN w:val="0"/>
        <w:jc w:val="both"/>
        <w:textAlignment w:val="center"/>
        <w:rPr>
          <w:rFonts w:ascii="Palatino Linotype" w:hAnsi="Palatino Linotype"/>
          <w:sz w:val="22"/>
          <w:szCs w:val="22"/>
        </w:rPr>
      </w:pPr>
      <w:r w:rsidRPr="00A756A9">
        <w:rPr>
          <w:rFonts w:ascii="Palatino Linotype" w:eastAsiaTheme="minorHAnsi" w:hAnsi="Palatino Linotype" w:cs="Byington"/>
        </w:rPr>
        <w:t xml:space="preserve">A retiring member is entitled to receive the maximum </w:t>
      </w:r>
      <w:r w:rsidR="00027277">
        <w:rPr>
          <w:rFonts w:ascii="Palatino Linotype" w:eastAsiaTheme="minorHAnsi" w:hAnsi="Palatino Linotype" w:cs="Byington"/>
        </w:rPr>
        <w:t>monthly benefit</w:t>
      </w:r>
      <w:r w:rsidRPr="00A756A9">
        <w:rPr>
          <w:rFonts w:ascii="Palatino Linotype" w:eastAsiaTheme="minorHAnsi" w:hAnsi="Palatino Linotype" w:cs="Byington"/>
        </w:rPr>
        <w:t xml:space="preserve"> payable until the member’s death.  </w:t>
      </w:r>
      <w:r w:rsidR="00202D35">
        <w:rPr>
          <w:rFonts w:ascii="Palatino Linotype" w:hAnsi="Palatino Linotype"/>
        </w:rPr>
        <w:t xml:space="preserve">However in lieu of the maximum monthly benefit, the member may elect to receive a reduced monthly benefit (based on a named beneficiary’s </w:t>
      </w:r>
      <w:r w:rsidR="00202D35">
        <w:rPr>
          <w:rFonts w:ascii="Palatino Linotype" w:hAnsi="Palatino Linotype"/>
        </w:rPr>
        <w:lastRenderedPageBreak/>
        <w:t xml:space="preserve">age).  In addition, all options (except Option 1) </w:t>
      </w:r>
      <w:r w:rsidR="00FD1A92">
        <w:rPr>
          <w:rFonts w:ascii="Palatino Linotype" w:hAnsi="Palatino Linotype"/>
        </w:rPr>
        <w:t>are allowed</w:t>
      </w:r>
      <w:r w:rsidR="00202D35">
        <w:rPr>
          <w:rFonts w:ascii="Palatino Linotype" w:hAnsi="Palatino Linotype"/>
        </w:rPr>
        <w:t xml:space="preserve"> a lump sum that can’t exceed 36 months of the members’ maximum monthly benefit amount.  </w:t>
      </w:r>
    </w:p>
    <w:p w:rsidR="0070257A" w:rsidRDefault="0070257A" w:rsidP="007F4E51">
      <w:pPr>
        <w:autoSpaceDE w:val="0"/>
        <w:autoSpaceDN w:val="0"/>
        <w:adjustRightInd w:val="0"/>
        <w:jc w:val="both"/>
        <w:textAlignment w:val="center"/>
        <w:rPr>
          <w:rFonts w:ascii="Palatino Linotype" w:eastAsiaTheme="minorHAnsi" w:hAnsi="Palatino Linotype" w:cs="Byington"/>
        </w:rPr>
      </w:pPr>
    </w:p>
    <w:bookmarkEnd w:id="1"/>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Upon termination of employment, the member is entitled to the fixed benefit, an additional benefit based on post-DROP service (if any), and the individual DROP account balance which can be paid in a lump sum or </w:t>
      </w:r>
      <w:r w:rsidR="0088289B">
        <w:rPr>
          <w:rFonts w:ascii="Palatino Linotype" w:eastAsiaTheme="minorHAnsi" w:hAnsi="Palatino Linotype" w:cs="Byington"/>
          <w:color w:val="000000"/>
        </w:rPr>
        <w:t xml:space="preserve">as </w:t>
      </w:r>
      <w:r w:rsidRPr="00A756A9">
        <w:rPr>
          <w:rFonts w:ascii="Palatino Linotype" w:eastAsiaTheme="minorHAnsi" w:hAnsi="Palatino Linotype" w:cs="Byington"/>
          <w:color w:val="000000"/>
        </w:rPr>
        <w:t>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9623E" w:rsidRDefault="0009623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w:t>
      </w:r>
      <w:r w:rsidR="0088289B">
        <w:rPr>
          <w:rFonts w:ascii="Palatino Linotype" w:eastAsiaTheme="minorHAnsi" w:hAnsi="Palatino Linotype" w:cs="Byington"/>
          <w:color w:val="000000"/>
        </w:rPr>
        <w:t>benefit factor</w:t>
      </w:r>
      <w:r w:rsidRPr="007F4E51">
        <w:rPr>
          <w:rFonts w:ascii="Palatino Linotype" w:eastAsiaTheme="minorHAnsi" w:hAnsi="Palatino Linotype" w:cs="Byington"/>
          <w:color w:val="000000"/>
        </w:rPr>
        <w:t xml:space="preserv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 xml:space="preserve">As fully described in Title 11 of the Louisiana Revised Statutes, the System allows for the payment of </w:t>
      </w:r>
      <w:r w:rsidR="0088289B">
        <w:rPr>
          <w:rFonts w:ascii="Palatino Linotype" w:eastAsiaTheme="minorHAnsi" w:hAnsi="Palatino Linotype" w:cstheme="minorBidi"/>
        </w:rPr>
        <w:t xml:space="preserve">ad hoc </w:t>
      </w:r>
      <w:r w:rsidRPr="007F4E51">
        <w:rPr>
          <w:rFonts w:ascii="Palatino Linotype" w:eastAsiaTheme="minorHAnsi" w:hAnsi="Palatino Linotype" w:cstheme="minorBidi"/>
        </w:rPr>
        <w:t>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lastRenderedPageBreak/>
        <w:t>The ORP is a defined contribution pension plan which provides for portability of assets and full and immediate vesting of all contributions submitted on behalf of the 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w:t>
      </w:r>
      <w:r w:rsidR="0092226F">
        <w:rPr>
          <w:rFonts w:ascii="Palatino Linotype" w:eastAsiaTheme="minorHAnsi" w:hAnsi="Palatino Linotype" w:cs="Byington"/>
          <w:color w:val="000000"/>
        </w:rPr>
        <w:t>2</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w:t>
            </w:r>
            <w:r w:rsidR="0092226F">
              <w:rPr>
                <w:rFonts w:ascii="Byington" w:eastAsia="Calibri" w:hAnsi="Byington" w:cs="Byington"/>
                <w:b/>
                <w:bCs/>
                <w:color w:val="000000"/>
              </w:rPr>
              <w:t>2</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09623E">
              <w:rPr>
                <w:rFonts w:ascii="Byington" w:eastAsia="Calibri" w:hAnsi="Byington" w:cs="Byington"/>
                <w:color w:val="000000"/>
              </w:rPr>
              <w:t>5</w:t>
            </w:r>
            <w:r>
              <w:rPr>
                <w:rFonts w:ascii="Byington" w:eastAsia="Calibri" w:hAnsi="Byington" w:cs="Byington"/>
                <w:color w:val="000000"/>
              </w:rPr>
              <w:t>.</w:t>
            </w:r>
            <w:r w:rsidR="0092226F">
              <w:rPr>
                <w:rFonts w:ascii="Byington" w:eastAsia="Calibri" w:hAnsi="Byington" w:cs="Byington"/>
                <w:color w:val="000000"/>
              </w:rPr>
              <w:t>2</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92226F">
              <w:rPr>
                <w:rFonts w:ascii="Byington" w:eastAsia="Calibri" w:hAnsi="Byington" w:cs="Byington"/>
                <w:color w:val="000000"/>
              </w:rPr>
              <w:t>4</w:t>
            </w:r>
            <w:r>
              <w:rPr>
                <w:rFonts w:ascii="Byington" w:eastAsia="Calibri" w:hAnsi="Byington" w:cs="Byington"/>
                <w:color w:val="000000"/>
              </w:rPr>
              <w:t>.</w:t>
            </w:r>
            <w:r w:rsidR="0092226F">
              <w:rPr>
                <w:rFonts w:ascii="Byington" w:eastAsia="Calibri" w:hAnsi="Byington" w:cs="Byington"/>
                <w:color w:val="000000"/>
              </w:rPr>
              <w:t>5</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w:t>
            </w:r>
            <w:r w:rsidR="0092226F">
              <w:rPr>
                <w:rFonts w:ascii="Byington" w:eastAsiaTheme="minorHAnsi" w:hAnsi="Byington" w:cs="Byington"/>
                <w:color w:val="000000"/>
              </w:rPr>
              <w:t>2</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09623E">
              <w:rPr>
                <w:rFonts w:ascii="Byington" w:eastAsiaTheme="minorHAnsi" w:hAnsi="Byington" w:cs="Minion Pro"/>
                <w:color w:val="000000"/>
              </w:rPr>
              <w:t>1</w:t>
            </w:r>
            <w:r w:rsidR="009D151F">
              <w:rPr>
                <w:rFonts w:ascii="Byington" w:eastAsiaTheme="minorHAnsi" w:hAnsi="Byington" w:cs="Minion Pro"/>
                <w:color w:val="000000"/>
              </w:rPr>
              <w:t>.</w:t>
            </w:r>
            <w:r w:rsidR="0092226F">
              <w:rPr>
                <w:rFonts w:ascii="Byington" w:eastAsiaTheme="minorHAnsi" w:hAnsi="Byington" w:cs="Minion Pro"/>
                <w:color w:val="000000"/>
              </w:rPr>
              <w:t>47</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t xml:space="preserve">The </w:t>
      </w:r>
      <w:proofErr w:type="gramStart"/>
      <w:r w:rsidRPr="00A756A9">
        <w:rPr>
          <w:rFonts w:ascii="Palatino Linotype" w:eastAsiaTheme="minorHAnsi" w:hAnsi="Palatino Linotype" w:cstheme="minorBidi"/>
        </w:rPr>
        <w:t>agency’s</w:t>
      </w:r>
      <w:proofErr w:type="gramEnd"/>
      <w:r w:rsidRPr="00A756A9">
        <w:rPr>
          <w:rFonts w:ascii="Palatino Linotype" w:eastAsiaTheme="minorHAnsi" w:hAnsi="Palatino Linotype" w:cstheme="minorBidi"/>
        </w:rPr>
        <w:t xml:space="preserve"> contractually required composite contribution rate for the year ended June 30, 20</w:t>
      </w:r>
      <w:r w:rsidR="00564051">
        <w:rPr>
          <w:rFonts w:ascii="Palatino Linotype" w:eastAsiaTheme="minorHAnsi" w:hAnsi="Palatino Linotype" w:cstheme="minorBidi"/>
        </w:rPr>
        <w:t>2</w:t>
      </w:r>
      <w:r w:rsidR="0092226F">
        <w:rPr>
          <w:rFonts w:ascii="Palatino Linotype" w:eastAsiaTheme="minorHAnsi" w:hAnsi="Palatino Linotype" w:cstheme="minorBidi"/>
        </w:rPr>
        <w:t>2</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w:t>
      </w:r>
      <w:r w:rsidR="0092226F">
        <w:rPr>
          <w:rFonts w:ascii="Palatino Linotype" w:eastAsiaTheme="minorHAnsi" w:hAnsi="Palatino Linotype" w:cstheme="minorBidi"/>
        </w:rPr>
        <w:t>2</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w:t>
      </w:r>
      <w:r w:rsidR="0088289B">
        <w:rPr>
          <w:rFonts w:ascii="Palatino Linotype" w:eastAsia="Cambria" w:hAnsi="Palatino Linotype"/>
          <w:b/>
        </w:rPr>
        <w:t>ty</w:t>
      </w:r>
      <w:r w:rsidRPr="00A756A9">
        <w:rPr>
          <w:rFonts w:ascii="Palatino Linotype" w:eastAsia="Cambria" w:hAnsi="Palatino Linotype"/>
          <w:b/>
        </w:rPr>
        <w:t>,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w:t>
      </w:r>
      <w:r w:rsidR="0009623E">
        <w:rPr>
          <w:rFonts w:ascii="Palatino Linotype" w:eastAsia="Cambria" w:hAnsi="Palatino Linotype"/>
        </w:rPr>
        <w:t>2</w:t>
      </w:r>
      <w:r w:rsidR="0092226F">
        <w:rPr>
          <w:rFonts w:ascii="Palatino Linotype" w:eastAsia="Cambria" w:hAnsi="Palatino Linotype"/>
        </w:rPr>
        <w:t>1</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w:t>
      </w:r>
      <w:r w:rsidR="0009623E">
        <w:rPr>
          <w:rFonts w:ascii="Palatino Linotype" w:eastAsia="Cambria" w:hAnsi="Palatino Linotype"/>
        </w:rPr>
        <w:t>2</w:t>
      </w:r>
      <w:r w:rsidR="0092226F">
        <w:rPr>
          <w:rFonts w:ascii="Palatino Linotype" w:eastAsia="Cambria" w:hAnsi="Palatino Linotype"/>
        </w:rPr>
        <w:t>1</w:t>
      </w:r>
      <w:r w:rsidRPr="00A756A9">
        <w:rPr>
          <w:rFonts w:ascii="Palatino Linotype" w:eastAsia="Cambria" w:hAnsi="Palatino Linotype"/>
        </w:rPr>
        <w:t>, the Agency’s proportion was [</w:t>
      </w:r>
      <w:r w:rsidRPr="00A756A9">
        <w:rPr>
          <w:rFonts w:ascii="Palatino Linotype" w:eastAsia="Cambria" w:hAnsi="Palatino Linotype"/>
          <w:highlight w:val="cyan"/>
        </w:rPr>
        <w:t xml:space="preserve">Exhibit 2 Column </w:t>
      </w:r>
      <w:proofErr w:type="gramStart"/>
      <w:r w:rsidRPr="00A756A9">
        <w:rPr>
          <w:rFonts w:ascii="Palatino Linotype" w:eastAsia="Cambria" w:hAnsi="Palatino Linotype"/>
          <w:highlight w:val="cyan"/>
        </w:rPr>
        <w:t>B</w:t>
      </w:r>
      <w:r w:rsidRPr="00A756A9">
        <w:rPr>
          <w:rFonts w:ascii="Palatino Linotype" w:eastAsia="Cambria" w:hAnsi="Palatino Linotype"/>
        </w:rPr>
        <w:t>]%</w:t>
      </w:r>
      <w:proofErr w:type="gramEnd"/>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w:t>
      </w:r>
      <w:r w:rsidR="0092226F">
        <w:rPr>
          <w:rFonts w:ascii="Palatino Linotype" w:eastAsia="Cambria" w:hAnsi="Palatino Linotype"/>
        </w:rPr>
        <w:t>20</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p w:rsidR="00C40E7C" w:rsidRDefault="00C40E7C" w:rsidP="00A756A9">
      <w:pPr>
        <w:rPr>
          <w:rFonts w:ascii="Palatino Linotype" w:eastAsia="Cambria" w:hAnsi="Palatino Linotype"/>
        </w:rPr>
      </w:pPr>
      <w:bookmarkStart w:id="2" w:name="_MON_1528194582"/>
      <w:bookmarkStart w:id="3" w:name="_MON_1496901729"/>
      <w:bookmarkStart w:id="4" w:name="_MON_1552135972"/>
      <w:bookmarkStart w:id="5" w:name="_MON_1588408560"/>
      <w:bookmarkStart w:id="6" w:name="_MON_1588408611"/>
      <w:bookmarkStart w:id="7" w:name="_MON_1528198716"/>
      <w:bookmarkStart w:id="8" w:name="_MON_1552306687"/>
      <w:bookmarkStart w:id="9" w:name="_MON_1496901832"/>
      <w:bookmarkStart w:id="10" w:name="_MON_1554789466"/>
      <w:bookmarkStart w:id="11" w:name="_MON_1486372757"/>
      <w:bookmarkEnd w:id="2"/>
      <w:bookmarkEnd w:id="3"/>
      <w:bookmarkEnd w:id="4"/>
      <w:bookmarkEnd w:id="5"/>
      <w:bookmarkEnd w:id="6"/>
      <w:bookmarkEnd w:id="7"/>
      <w:bookmarkEnd w:id="8"/>
      <w:bookmarkEnd w:id="9"/>
      <w:bookmarkEnd w:id="10"/>
      <w:bookmarkEnd w:id="11"/>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Pr>
                <w:rFonts w:ascii="Palatino Linotype" w:eastAsia="Cambria" w:hAnsi="Palatino Linotype"/>
                <w:sz w:val="22"/>
                <w:szCs w:val="22"/>
              </w:rPr>
              <w:t>N/A</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92226F">
              <w:rPr>
                <w:sz w:val="28"/>
                <w:szCs w:val="28"/>
              </w:rPr>
              <w:t>3</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9716FF">
        <w:trPr>
          <w:trHeight w:val="917"/>
        </w:trPr>
        <w:tc>
          <w:tcPr>
            <w:tcW w:w="948" w:type="dxa"/>
          </w:tcPr>
          <w:p w:rsidR="00AB7A02" w:rsidRPr="00587682" w:rsidRDefault="00AB7A02" w:rsidP="00B15433">
            <w:pPr>
              <w:rPr>
                <w:sz w:val="28"/>
                <w:szCs w:val="28"/>
              </w:rPr>
            </w:pPr>
            <w:r>
              <w:rPr>
                <w:sz w:val="28"/>
                <w:szCs w:val="28"/>
              </w:rPr>
              <w:t>20</w:t>
            </w:r>
            <w:r w:rsidR="00B15433">
              <w:rPr>
                <w:sz w:val="28"/>
                <w:szCs w:val="28"/>
              </w:rPr>
              <w:t>2</w:t>
            </w:r>
            <w:r w:rsidR="0092226F">
              <w:rPr>
                <w:sz w:val="28"/>
                <w:szCs w:val="28"/>
              </w:rPr>
              <w:t>4</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r w:rsidR="009716FF">
              <w:rPr>
                <w:highlight w:val="yellow"/>
              </w:rPr>
              <w:t>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92226F">
              <w:rPr>
                <w:sz w:val="28"/>
                <w:szCs w:val="28"/>
              </w:rPr>
              <w:t>5</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92226F">
              <w:rPr>
                <w:sz w:val="28"/>
                <w:szCs w:val="28"/>
              </w:rPr>
              <w:t>6</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09623E" w:rsidRDefault="0009623E" w:rsidP="00A756A9">
      <w:pPr>
        <w:rPr>
          <w:rFonts w:ascii="Palatino Linotype" w:eastAsia="Cambria" w:hAnsi="Palatino Linotype"/>
          <w:b/>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lastRenderedPageBreak/>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w:t>
      </w:r>
      <w:r w:rsidR="0009623E">
        <w:rPr>
          <w:rFonts w:ascii="Palatino Linotype" w:eastAsia="Cambria" w:hAnsi="Palatino Linotype"/>
        </w:rPr>
        <w:t>2</w:t>
      </w:r>
      <w:r w:rsidR="004C1128">
        <w:rPr>
          <w:rFonts w:ascii="Palatino Linotype" w:eastAsia="Cambria" w:hAnsi="Palatino Linotype"/>
        </w:rPr>
        <w:t>1</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09623E">
              <w:rPr>
                <w:rFonts w:ascii="Palatino Linotype" w:eastAsia="Cambria" w:hAnsi="Palatino Linotype"/>
                <w:sz w:val="22"/>
                <w:szCs w:val="22"/>
              </w:rPr>
              <w:t>4</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w:t>
            </w:r>
            <w:r w:rsidR="0009623E">
              <w:rPr>
                <w:rFonts w:ascii="Palatino Linotype" w:eastAsia="Cambria" w:hAnsi="Palatino Linotype"/>
                <w:sz w:val="22"/>
                <w:szCs w:val="22"/>
              </w:rPr>
              <w:t>3</w:t>
            </w:r>
            <w:r w:rsidRPr="00A756A9">
              <w:rPr>
                <w:rFonts w:ascii="Palatino Linotype" w:eastAsia="Cambria" w:hAnsi="Palatino Linotype"/>
                <w:sz w:val="22"/>
                <w:szCs w:val="22"/>
              </w:rPr>
              <w:t>%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w:t>
            </w:r>
            <w:r w:rsidR="0009623E">
              <w:rPr>
                <w:rFonts w:ascii="Palatino Linotype" w:eastAsia="Cambria" w:hAnsi="Palatino Linotype"/>
                <w:sz w:val="22"/>
                <w:szCs w:val="22"/>
              </w:rPr>
              <w:t>1</w:t>
            </w:r>
            <w:r w:rsidRPr="00A756A9">
              <w:rPr>
                <w:rFonts w:ascii="Palatino Linotype" w:eastAsia="Cambria" w:hAnsi="Palatino Linotype"/>
                <w:sz w:val="22"/>
                <w:szCs w:val="22"/>
              </w:rPr>
              <w:t>%</w:t>
            </w:r>
            <w:r w:rsidR="009927CD">
              <w:rPr>
                <w:rFonts w:ascii="Palatino Linotype" w:eastAsia="Cambria" w:hAnsi="Palatino Linotype"/>
                <w:sz w:val="22"/>
                <w:szCs w:val="22"/>
              </w:rPr>
              <w:t xml:space="preserve"> - 4.</w:t>
            </w:r>
            <w:r w:rsidR="0009623E">
              <w:rPr>
                <w:rFonts w:ascii="Palatino Linotype" w:eastAsia="Cambria" w:hAnsi="Palatino Linotype"/>
                <w:sz w:val="22"/>
                <w:szCs w:val="22"/>
              </w:rPr>
              <w:t>6</w:t>
            </w:r>
            <w:r w:rsidR="009927CD">
              <w:rPr>
                <w:rFonts w:ascii="Palatino Linotype" w:eastAsia="Cambria" w:hAnsi="Palatino Linotype"/>
                <w:sz w:val="22"/>
                <w:szCs w:val="22"/>
              </w:rPr>
              <w:t xml:space="preserve">% </w:t>
            </w:r>
            <w:r w:rsidRPr="00A756A9">
              <w:rPr>
                <w:rFonts w:ascii="Palatino Linotype" w:eastAsia="Cambria" w:hAnsi="Palatino Linotype"/>
                <w:sz w:val="22"/>
                <w:szCs w:val="22"/>
              </w:rPr>
              <w:t>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Active members – RP-2014 White Collar Employee tables, adjusted by 1.010 for males and by 0.997 for females</w:t>
            </w:r>
            <w:r w:rsidR="008964EC" w:rsidRPr="00564051">
              <w:rPr>
                <w:rFonts w:ascii="Palatino Linotype" w:eastAsia="Cambria" w:hAnsi="Palatino Linotype"/>
                <w:sz w:val="22"/>
                <w:szCs w:val="22"/>
              </w:rPr>
              <w:t>.</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Non-Disabled retiree/inactive members – RP-2014 White Collar Healthy Annuitant tables, adjusted by 1.366 for males and by 1.189 for females.</w:t>
            </w:r>
            <w:r>
              <w:rPr>
                <w:rFonts w:cs="Arial Narrow"/>
                <w:color w:val="000000"/>
                <w:sz w:val="22"/>
                <w:szCs w:val="22"/>
              </w:rPr>
              <w:t xml:space="preserve"> </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Disability retiree mortality – RP-2014 Disability tables, adjusted by 1.111 for males and by 1.134 for females</w:t>
            </w:r>
            <w:r w:rsidR="008964EC" w:rsidRPr="00564051">
              <w:rPr>
                <w:rFonts w:ascii="Palatino Linotype" w:eastAsia="Cambria" w:hAnsi="Palatino Linotype"/>
                <w:sz w:val="22"/>
                <w:szCs w:val="22"/>
              </w:rPr>
              <w:t>.</w:t>
            </w:r>
          </w:p>
          <w:p w:rsidR="00A756A9" w:rsidRPr="00A756A9" w:rsidRDefault="009927CD" w:rsidP="009927CD">
            <w:pPr>
              <w:rPr>
                <w:rFonts w:ascii="Palatino Linotype" w:eastAsia="Cambria" w:hAnsi="Palatino Linotype"/>
                <w:sz w:val="22"/>
                <w:szCs w:val="22"/>
              </w:rPr>
            </w:pPr>
            <w:r w:rsidRPr="008964EC">
              <w:rPr>
                <w:rFonts w:ascii="Palatino Linotype" w:eastAsia="Cambria" w:hAnsi="Palatino Linotype"/>
                <w:sz w:val="22"/>
                <w:szCs w:val="22"/>
              </w:rPr>
              <w:t>These base tables are adjusted from 2014 to 2018 using the MP-2017 generational improvement table, with continued future mortality improvement projected using the MP-2017 generational mortality improvement tables</w:t>
            </w:r>
            <w:r w:rsidR="008964EC" w:rsidRPr="00564051">
              <w:rPr>
                <w:rFonts w:ascii="Palatino Linotype" w:eastAsia="Cambria" w:hAnsi="Palatino Linotype"/>
                <w:sz w:val="22"/>
                <w:szCs w:val="22"/>
              </w:rPr>
              <w:t>.</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564051" w:rsidP="0070257A">
            <w:pPr>
              <w:rPr>
                <w:rFonts w:ascii="Palatino Linotype" w:eastAsia="Cambria" w:hAnsi="Palatino Linotype"/>
                <w:sz w:val="22"/>
                <w:szCs w:val="22"/>
              </w:rPr>
            </w:pPr>
            <w:r w:rsidRPr="008964EC">
              <w:rPr>
                <w:rFonts w:ascii="Palatino Linotype" w:eastAsia="Cambria" w:hAnsi="Palatino Linotype"/>
                <w:sz w:val="22"/>
                <w:szCs w:val="22"/>
              </w:rPr>
              <w:t>Termination, disability, and retirement assumptions were projected based on a 5-year (July 1, 2012 – June 30, 2017)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w:t>
      </w:r>
      <w:r w:rsidR="004C1128">
        <w:rPr>
          <w:rFonts w:ascii="Palatino Linotype" w:eastAsiaTheme="minorHAnsi" w:hAnsi="Palatino Linotype" w:cstheme="minorBidi"/>
          <w:i/>
          <w:sz w:val="22"/>
          <w:szCs w:val="22"/>
        </w:rPr>
        <w:t>75</w:t>
      </w:r>
      <w:r w:rsidR="00D42AF9" w:rsidRPr="008964EC">
        <w:rPr>
          <w:rFonts w:ascii="Palatino Linotype" w:eastAsiaTheme="minorHAnsi" w:hAnsi="Palatino Linotype" w:cstheme="minorBidi"/>
          <w:i/>
          <w:sz w:val="22"/>
          <w:szCs w:val="22"/>
        </w:rPr>
        <w:t xml:space="preserve">%, recognizing an additional </w:t>
      </w:r>
      <w:r w:rsidR="0009623E">
        <w:rPr>
          <w:rFonts w:ascii="Palatino Linotype" w:eastAsiaTheme="minorHAnsi" w:hAnsi="Palatino Linotype" w:cstheme="minorBidi"/>
          <w:i/>
          <w:sz w:val="22"/>
          <w:szCs w:val="22"/>
        </w:rPr>
        <w:t>35</w:t>
      </w:r>
      <w:r w:rsidR="00D42AF9" w:rsidRPr="008964EC">
        <w:rPr>
          <w:rFonts w:ascii="Palatino Linotype" w:eastAsiaTheme="minorHAnsi" w:hAnsi="Palatino Linotype" w:cstheme="minorBidi"/>
          <w:i/>
          <w:sz w:val="22"/>
          <w:szCs w:val="22"/>
        </w:rPr>
        <w:t xml:space="preserve"> basis points </w:t>
      </w:r>
      <w:r w:rsidR="00F86C56">
        <w:rPr>
          <w:rFonts w:ascii="Palatino Linotype" w:eastAsiaTheme="minorHAnsi" w:hAnsi="Palatino Linotype" w:cstheme="minorBidi"/>
          <w:i/>
          <w:sz w:val="22"/>
          <w:szCs w:val="22"/>
        </w:rPr>
        <w:t>gain sharing</w:t>
      </w:r>
      <w:r w:rsidR="00D42AF9" w:rsidRPr="008964EC">
        <w:rPr>
          <w:rFonts w:ascii="Palatino Linotype" w:eastAsiaTheme="minorHAnsi" w:hAnsi="Palatino Linotype" w:cstheme="minorBidi"/>
          <w:i/>
          <w:sz w:val="22"/>
          <w:szCs w:val="22"/>
        </w:rPr>
        <w:t>.</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lastRenderedPageBreak/>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of 2.</w:t>
      </w:r>
      <w:r w:rsidR="00C9027B">
        <w:rPr>
          <w:rFonts w:ascii="Palatino Linotype" w:eastAsia="Calibri" w:hAnsi="Palatino Linotype" w:cs="Byington"/>
        </w:rPr>
        <w:t>3</w:t>
      </w:r>
      <w:r w:rsidR="0065690E">
        <w:rPr>
          <w:rFonts w:ascii="Palatino Linotype" w:eastAsia="Calibri" w:hAnsi="Palatino Linotype" w:cs="Byington"/>
        </w:rPr>
        <w:t xml:space="preserve">%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 xml:space="preserve">The resulting expected long-term rate of return was </w:t>
      </w:r>
      <w:r w:rsidR="004C1128">
        <w:rPr>
          <w:rFonts w:ascii="Palatino Linotype" w:eastAsia="Calibri" w:hAnsi="Palatino Linotype" w:cs="Byington"/>
        </w:rPr>
        <w:t>7</w:t>
      </w:r>
      <w:r w:rsidR="0065690E">
        <w:rPr>
          <w:rFonts w:ascii="Palatino Linotype" w:eastAsia="Calibri" w:hAnsi="Palatino Linotype" w:cs="Byington"/>
        </w:rPr>
        <w:t>.</w:t>
      </w:r>
      <w:r w:rsidR="004C1128">
        <w:rPr>
          <w:rFonts w:ascii="Palatino Linotype" w:eastAsia="Calibri" w:hAnsi="Palatino Linotype" w:cs="Byington"/>
        </w:rPr>
        <w:t>87</w:t>
      </w:r>
      <w:r w:rsidR="0065690E">
        <w:rPr>
          <w:rFonts w:ascii="Palatino Linotype" w:eastAsia="Calibri" w:hAnsi="Palatino Linotype" w:cs="Byington"/>
        </w:rPr>
        <w:t>% for 20</w:t>
      </w:r>
      <w:r w:rsidR="00C9027B">
        <w:rPr>
          <w:rFonts w:ascii="Palatino Linotype" w:eastAsia="Calibri" w:hAnsi="Palatino Linotype" w:cs="Byington"/>
        </w:rPr>
        <w:t>2</w:t>
      </w:r>
      <w:r w:rsidR="004C1128">
        <w:rPr>
          <w:rFonts w:ascii="Palatino Linotype" w:eastAsia="Calibri" w:hAnsi="Palatino Linotype" w:cs="Byington"/>
        </w:rPr>
        <w:t>1</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w:t>
      </w:r>
      <w:r w:rsidR="00F86C56">
        <w:rPr>
          <w:rFonts w:ascii="Palatino Linotype" w:eastAsia="Calibri" w:hAnsi="Palatino Linotype" w:cs="Byington"/>
        </w:rPr>
        <w:t>2</w:t>
      </w:r>
      <w:r w:rsidR="004C1128">
        <w:rPr>
          <w:rFonts w:ascii="Palatino Linotype" w:eastAsia="Calibri" w:hAnsi="Palatino Linotype" w:cs="Byington"/>
        </w:rPr>
        <w:t>1</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9D151F">
              <w:rPr>
                <w:rFonts w:ascii="Palatino Linotype" w:hAnsi="Palatino Linotype" w:cs="Byington"/>
              </w:rPr>
              <w:t>60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w:t>
            </w:r>
            <w:r w:rsidR="00F86C56">
              <w:rPr>
                <w:rFonts w:ascii="Palatino Linotype" w:hAnsi="Palatino Linotype" w:cs="Byington"/>
              </w:rPr>
              <w:t>54</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sidR="009D151F">
              <w:rPr>
                <w:rFonts w:ascii="Palatino Linotype" w:hAnsi="Palatino Linotype" w:cs="Byington"/>
              </w:rPr>
              <w:t>6</w:t>
            </w:r>
            <w:r w:rsidR="00B15433">
              <w:rPr>
                <w:rFonts w:ascii="Palatino Linotype" w:hAnsi="Palatino Linotype" w:cs="Byington"/>
              </w:rPr>
              <w:t>9</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w:t>
            </w:r>
            <w:r w:rsidR="00B15433">
              <w:rPr>
                <w:rFonts w:ascii="Palatino Linotype" w:hAnsi="Palatino Linotype" w:cs="Byington"/>
              </w:rPr>
              <w:t>.</w:t>
            </w:r>
            <w:r>
              <w:rPr>
                <w:rFonts w:ascii="Palatino Linotype" w:hAnsi="Palatino Linotype" w:cs="Byington"/>
              </w:rPr>
              <w:t>5</w:t>
            </w:r>
            <w:r w:rsidR="009D151F">
              <w:rPr>
                <w:rFonts w:ascii="Palatino Linotype" w:hAnsi="Palatino Linotype" w:cs="Byington"/>
              </w:rPr>
              <w:t>0</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C9027B">
              <w:rPr>
                <w:rFonts w:ascii="Palatino Linotype" w:hAnsi="Palatino Linotype" w:cs="Byington"/>
              </w:rPr>
              <w:t>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9D151F">
              <w:rPr>
                <w:rFonts w:ascii="Palatino Linotype" w:hAnsi="Palatino Linotype" w:cs="Byington"/>
              </w:rPr>
              <w:t>6</w:t>
            </w:r>
            <w:r w:rsidR="00F86C56">
              <w:rPr>
                <w:rFonts w:ascii="Palatino Linotype" w:hAnsi="Palatino Linotype" w:cs="Byington"/>
              </w:rPr>
              <w:t>2</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B15433">
              <w:rPr>
                <w:rFonts w:ascii="Palatino Linotype" w:hAnsi="Palatino Linotype" w:cs="Byington"/>
              </w:rPr>
              <w:t>.</w:t>
            </w:r>
            <w:r>
              <w:rPr>
                <w:rFonts w:ascii="Palatino Linotype" w:hAnsi="Palatino Linotype" w:cs="Byington"/>
              </w:rPr>
              <w:t>4</w:t>
            </w:r>
            <w:r w:rsidR="00B15433">
              <w:rPr>
                <w:rFonts w:ascii="Palatino Linotype" w:hAnsi="Palatino Linotype" w:cs="Byington"/>
              </w:rPr>
              <w:t>5</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w:t>
      </w:r>
      <w:r w:rsidR="00EC4B4D">
        <w:rPr>
          <w:rFonts w:ascii="Palatino Linotype" w:eastAsia="Cambria" w:hAnsi="Palatino Linotype"/>
          <w:i/>
          <w:sz w:val="22"/>
          <w:szCs w:val="22"/>
        </w:rPr>
        <w:t>’s</w:t>
      </w:r>
      <w:r w:rsidRPr="00A756A9">
        <w:rPr>
          <w:rFonts w:ascii="Palatino Linotype" w:eastAsia="Cambria" w:hAnsi="Palatino Linotype"/>
          <w:i/>
          <w:sz w:val="22"/>
          <w:szCs w:val="22"/>
        </w:rPr>
        <w:t xml:space="preserve"> 20</w:t>
      </w:r>
      <w:r w:rsidR="00F86C56">
        <w:rPr>
          <w:rFonts w:ascii="Palatino Linotype" w:eastAsia="Cambria" w:hAnsi="Palatino Linotype"/>
          <w:i/>
          <w:sz w:val="22"/>
          <w:szCs w:val="22"/>
        </w:rPr>
        <w:t>2</w:t>
      </w:r>
      <w:r w:rsidR="004C1128">
        <w:rPr>
          <w:rFonts w:ascii="Palatino Linotype" w:eastAsia="Cambria" w:hAnsi="Palatino Linotype"/>
          <w:i/>
          <w:sz w:val="22"/>
          <w:szCs w:val="22"/>
        </w:rPr>
        <w:t>1</w:t>
      </w:r>
      <w:r w:rsidR="000E5EE7">
        <w:rPr>
          <w:rFonts w:ascii="Palatino Linotype" w:eastAsia="Cambria" w:hAnsi="Palatino Linotype"/>
          <w:i/>
          <w:sz w:val="22"/>
          <w:szCs w:val="22"/>
        </w:rPr>
        <w:t xml:space="preserve"> </w:t>
      </w:r>
      <w:r w:rsidR="00C9027B" w:rsidRPr="00A756A9">
        <w:rPr>
          <w:rFonts w:ascii="Palatino Linotype" w:eastAsia="Cambria" w:hAnsi="Palatino Linotype"/>
          <w:i/>
          <w:sz w:val="22"/>
          <w:szCs w:val="22"/>
        </w:rPr>
        <w:t>C</w:t>
      </w:r>
      <w:r w:rsidR="00C9027B">
        <w:rPr>
          <w:rFonts w:ascii="Palatino Linotype" w:eastAsia="Cambria" w:hAnsi="Palatino Linotype"/>
          <w:i/>
          <w:sz w:val="22"/>
          <w:szCs w:val="22"/>
        </w:rPr>
        <w:t>omprehensive Annual Financial Report</w:t>
      </w:r>
      <w:r w:rsidRPr="00A756A9">
        <w:rPr>
          <w:rFonts w:ascii="Palatino Linotype" w:eastAsia="Cambria" w:hAnsi="Palatino Linotype"/>
          <w:i/>
          <w:sz w:val="22"/>
          <w:szCs w:val="22"/>
        </w:rPr>
        <w:t xml:space="preserve">, page </w:t>
      </w:r>
      <w:r w:rsidR="009D151F">
        <w:rPr>
          <w:rFonts w:ascii="Palatino Linotype" w:eastAsia="Cambria" w:hAnsi="Palatino Linotype"/>
          <w:i/>
          <w:sz w:val="22"/>
          <w:szCs w:val="22"/>
        </w:rPr>
        <w:t>9</w:t>
      </w:r>
      <w:r w:rsidR="00F86C56">
        <w:rPr>
          <w:rFonts w:ascii="Palatino Linotype" w:eastAsia="Cambria" w:hAnsi="Palatino Linotype"/>
          <w:i/>
          <w:sz w:val="22"/>
          <w:szCs w:val="22"/>
        </w:rPr>
        <w:t>9</w:t>
      </w:r>
      <w:r w:rsidRPr="00A756A9">
        <w:rPr>
          <w:rFonts w:ascii="Palatino Linotype" w:eastAsia="Cambria" w:hAnsi="Palatino Linotype"/>
          <w:i/>
          <w:sz w:val="22"/>
          <w:szCs w:val="22"/>
        </w:rPr>
        <w:t>, and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506C91">
        <w:rPr>
          <w:rFonts w:ascii="Palatino Linotype" w:eastAsiaTheme="minorHAnsi" w:hAnsi="Palatino Linotype" w:cs="Byington"/>
        </w:rPr>
        <w:t>4</w:t>
      </w:r>
      <w:r w:rsidR="004C1128">
        <w:rPr>
          <w:rFonts w:ascii="Palatino Linotype" w:eastAsiaTheme="minorHAnsi" w:hAnsi="Palatino Linotype" w:cs="Byington"/>
        </w:rPr>
        <w:t>0</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w:t>
      </w:r>
      <w:r w:rsidRPr="00A756A9">
        <w:rPr>
          <w:rFonts w:ascii="Palatino Linotype" w:eastAsiaTheme="minorHAnsi" w:hAnsi="Palatino Linotype" w:cs="Byington"/>
        </w:rPr>
        <w:lastRenderedPageBreak/>
        <w:t>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following presents the </w:t>
      </w:r>
      <w:r w:rsidR="00EC4B4D" w:rsidRPr="00A756A9">
        <w:rPr>
          <w:rFonts w:ascii="Palatino Linotype" w:eastAsiaTheme="minorHAnsi" w:hAnsi="Palatino Linotype" w:cstheme="minorBidi"/>
        </w:rPr>
        <w:t>Employer’s proportionate</w:t>
      </w:r>
      <w:r w:rsidRPr="00A756A9">
        <w:rPr>
          <w:rFonts w:ascii="Palatino Linotype" w:eastAsiaTheme="minorHAnsi" w:hAnsi="Palatino Linotype" w:cstheme="minorBidi"/>
        </w:rPr>
        <w:t xml:space="preserve"> share of the Net Pension Liability using the discount rate of 7.</w:t>
      </w:r>
      <w:r w:rsidR="00506C91">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030EFF">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or one percentage-point higher (8.</w:t>
      </w:r>
      <w:r w:rsidR="00030EFF">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(7.</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(8.</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2" w:name="_MON_1581248435"/>
      <w:bookmarkStart w:id="13" w:name="_MON_1495540499"/>
      <w:bookmarkEnd w:id="12"/>
      <w:bookmarkEnd w:id="13"/>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w:t>
      </w:r>
      <w:r w:rsidR="00EC4B4D">
        <w:rPr>
          <w:rFonts w:ascii="Palatino Linotype" w:eastAsiaTheme="minorHAnsi" w:hAnsi="Palatino Linotype" w:cstheme="minorBidi"/>
        </w:rPr>
        <w:t>’s</w:t>
      </w:r>
      <w:r w:rsidRPr="00A756A9">
        <w:rPr>
          <w:rFonts w:ascii="Palatino Linotype" w:eastAsiaTheme="minorHAnsi" w:hAnsi="Palatino Linotype" w:cstheme="minorBidi"/>
        </w:rPr>
        <w:t xml:space="preserve"> 20</w:t>
      </w:r>
      <w:r w:rsidR="00030EFF">
        <w:rPr>
          <w:rFonts w:ascii="Palatino Linotype" w:eastAsiaTheme="minorHAnsi" w:hAnsi="Palatino Linotype" w:cstheme="minorBidi"/>
        </w:rPr>
        <w:t>2</w:t>
      </w:r>
      <w:r w:rsidR="004C1128">
        <w:rPr>
          <w:rFonts w:ascii="Palatino Linotype" w:eastAsiaTheme="minorHAnsi" w:hAnsi="Palatino Linotype" w:cstheme="minorBidi"/>
        </w:rPr>
        <w:t>1</w:t>
      </w:r>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27277"/>
    <w:rsid w:val="000275CB"/>
    <w:rsid w:val="00030EFF"/>
    <w:rsid w:val="00032261"/>
    <w:rsid w:val="0009623E"/>
    <w:rsid w:val="000A3CBE"/>
    <w:rsid w:val="000E5EE7"/>
    <w:rsid w:val="000F2E91"/>
    <w:rsid w:val="00143387"/>
    <w:rsid w:val="00170320"/>
    <w:rsid w:val="001A0732"/>
    <w:rsid w:val="001B14DB"/>
    <w:rsid w:val="001E0EB6"/>
    <w:rsid w:val="001E4F19"/>
    <w:rsid w:val="00202D35"/>
    <w:rsid w:val="00244E38"/>
    <w:rsid w:val="0025129B"/>
    <w:rsid w:val="00283FCC"/>
    <w:rsid w:val="002868B9"/>
    <w:rsid w:val="002B0F73"/>
    <w:rsid w:val="002C47C9"/>
    <w:rsid w:val="002E30CA"/>
    <w:rsid w:val="00301E77"/>
    <w:rsid w:val="00385775"/>
    <w:rsid w:val="003B1884"/>
    <w:rsid w:val="003B5692"/>
    <w:rsid w:val="003E4333"/>
    <w:rsid w:val="0043512A"/>
    <w:rsid w:val="00492598"/>
    <w:rsid w:val="004C1128"/>
    <w:rsid w:val="004E2849"/>
    <w:rsid w:val="004F27DE"/>
    <w:rsid w:val="00506C91"/>
    <w:rsid w:val="00517FD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2015E"/>
    <w:rsid w:val="007F124C"/>
    <w:rsid w:val="007F4E51"/>
    <w:rsid w:val="007F5821"/>
    <w:rsid w:val="00820180"/>
    <w:rsid w:val="00831E7E"/>
    <w:rsid w:val="00853A5F"/>
    <w:rsid w:val="00853B5B"/>
    <w:rsid w:val="00863999"/>
    <w:rsid w:val="0088289B"/>
    <w:rsid w:val="00894A1B"/>
    <w:rsid w:val="008964EC"/>
    <w:rsid w:val="0092226F"/>
    <w:rsid w:val="0095785D"/>
    <w:rsid w:val="009716FF"/>
    <w:rsid w:val="009773AD"/>
    <w:rsid w:val="009927CD"/>
    <w:rsid w:val="009D151F"/>
    <w:rsid w:val="009D495C"/>
    <w:rsid w:val="00A02126"/>
    <w:rsid w:val="00A26FD1"/>
    <w:rsid w:val="00A5498E"/>
    <w:rsid w:val="00A62865"/>
    <w:rsid w:val="00A756A9"/>
    <w:rsid w:val="00A83146"/>
    <w:rsid w:val="00AB7A02"/>
    <w:rsid w:val="00B1470E"/>
    <w:rsid w:val="00B15433"/>
    <w:rsid w:val="00B15F60"/>
    <w:rsid w:val="00B35781"/>
    <w:rsid w:val="00BA20D0"/>
    <w:rsid w:val="00BE7EBF"/>
    <w:rsid w:val="00C22ABB"/>
    <w:rsid w:val="00C33437"/>
    <w:rsid w:val="00C40E7C"/>
    <w:rsid w:val="00C849C9"/>
    <w:rsid w:val="00C9027B"/>
    <w:rsid w:val="00C906A3"/>
    <w:rsid w:val="00C9452E"/>
    <w:rsid w:val="00D13AD4"/>
    <w:rsid w:val="00D42AF9"/>
    <w:rsid w:val="00D4315D"/>
    <w:rsid w:val="00D703BC"/>
    <w:rsid w:val="00D730C8"/>
    <w:rsid w:val="00D8291D"/>
    <w:rsid w:val="00D93A6D"/>
    <w:rsid w:val="00DB7F3B"/>
    <w:rsid w:val="00E42F8E"/>
    <w:rsid w:val="00E47538"/>
    <w:rsid w:val="00EC4B4D"/>
    <w:rsid w:val="00EE3C67"/>
    <w:rsid w:val="00F00B6D"/>
    <w:rsid w:val="00F07C14"/>
    <w:rsid w:val="00F61A20"/>
    <w:rsid w:val="00F86C56"/>
    <w:rsid w:val="00FB7F89"/>
    <w:rsid w:val="00FC6C4C"/>
    <w:rsid w:val="00FD1A92"/>
    <w:rsid w:val="00FD66B8"/>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691BE"/>
  <w15:docId w15:val="{F4E165A9-2C98-4942-8CB9-6CC3D5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1151-C9C2-487A-B340-81A7BAA1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3043</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Melissa Thibodeaux</cp:lastModifiedBy>
  <cp:revision>13</cp:revision>
  <cp:lastPrinted>2018-05-21T17:28:00Z</cp:lastPrinted>
  <dcterms:created xsi:type="dcterms:W3CDTF">2021-03-11T21:40:00Z</dcterms:created>
  <dcterms:modified xsi:type="dcterms:W3CDTF">2023-02-20T15:18:00Z</dcterms:modified>
</cp:coreProperties>
</file>