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A9" w:rsidRDefault="00A756A9" w:rsidP="00A756A9">
      <w:pPr>
        <w:rPr>
          <w:rFonts w:asciiTheme="minorHAnsi" w:eastAsiaTheme="minorHAnsi" w:hAnsiTheme="minorHAnsi" w:cstheme="minorBidi"/>
          <w:sz w:val="28"/>
          <w:szCs w:val="28"/>
        </w:rPr>
      </w:pPr>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8"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w:t>
      </w:r>
      <w:r w:rsidR="00564051">
        <w:rPr>
          <w:rFonts w:ascii="Palatino Linotype" w:eastAsiaTheme="minorHAnsi" w:hAnsi="Palatino Linotype" w:cstheme="minorBidi"/>
          <w:b/>
        </w:rPr>
        <w:t>2</w:t>
      </w:r>
      <w:r w:rsidR="00A3530F">
        <w:rPr>
          <w:rFonts w:ascii="Palatino Linotype" w:eastAsiaTheme="minorHAnsi" w:hAnsi="Palatino Linotype" w:cstheme="minorBidi"/>
          <w:b/>
        </w:rPr>
        <w:t>4</w:t>
      </w:r>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w:t>
      </w:r>
      <w:r w:rsidR="009716FF">
        <w:rPr>
          <w:rFonts w:ascii="Palatino Linotype" w:hAnsi="Palatino Linotype"/>
        </w:rPr>
        <w:t>2</w:t>
      </w:r>
      <w:r w:rsidR="00A3530F">
        <w:rPr>
          <w:rFonts w:ascii="Palatino Linotype" w:hAnsi="Palatino Linotype"/>
        </w:rPr>
        <w:t>3</w:t>
      </w:r>
      <w:r w:rsidRPr="006D6598">
        <w:rPr>
          <w:rFonts w:ascii="Palatino Linotype" w:hAnsi="Palatino Linotype"/>
        </w:rPr>
        <w:t xml:space="preserve"> through June 30, 20</w:t>
      </w:r>
      <w:r w:rsidR="00564051">
        <w:rPr>
          <w:rFonts w:ascii="Palatino Linotype" w:hAnsi="Palatino Linotype"/>
        </w:rPr>
        <w:t>2</w:t>
      </w:r>
      <w:r w:rsidR="00A3530F">
        <w:rPr>
          <w:rFonts w:ascii="Palatino Linotype" w:hAnsi="Palatino Linotype"/>
        </w:rPr>
        <w:t>4</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bookmarkStart w:id="0" w:name="_GoBack"/>
        <w:bookmarkEnd w:id="0"/>
      </w:tr>
    </w:tbl>
    <w:tbl>
      <w:tblPr>
        <w:tblpPr w:leftFromText="180" w:rightFromText="180" w:vertAnchor="text" w:horzAnchor="margin" w:tblpXSpec="center" w:tblpY="349"/>
        <w:tblW w:w="10710" w:type="dxa"/>
        <w:tblLayout w:type="fixed"/>
        <w:tblCellMar>
          <w:left w:w="0" w:type="dxa"/>
          <w:right w:w="0" w:type="dxa"/>
        </w:tblCellMar>
        <w:tblLook w:val="0000" w:firstRow="0" w:lastRow="0" w:firstColumn="0" w:lastColumn="0" w:noHBand="0" w:noVBand="0"/>
      </w:tblPr>
      <w:tblGrid>
        <w:gridCol w:w="1252"/>
        <w:gridCol w:w="9458"/>
      </w:tblGrid>
      <w:tr w:rsidR="006C53E7" w:rsidRPr="006C53E7" w:rsidTr="00EE3C67">
        <w:trPr>
          <w:trHeight w:val="337"/>
        </w:trPr>
        <w:tc>
          <w:tcPr>
            <w:tcW w:w="1071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45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EE3C67" w:rsidRDefault="00EE3C6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p w:rsidR="00535E88" w:rsidRDefault="00535E88"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6C53E7" w:rsidRPr="006C53E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ind w:left="15"/>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301E77" w:rsidRPr="00301E7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A</w:t>
      </w:r>
      <w:r w:rsidRPr="00301E77">
        <w:rPr>
          <w:rFonts w:ascii="Byington" w:eastAsiaTheme="minorHAnsi" w:hAnsi="Byington" w:cs="Byington"/>
          <w:color w:val="000000"/>
        </w:rPr>
        <w:t xml:space="preserve"> - Plan A is closed to new entrants.</w:t>
      </w:r>
    </w:p>
    <w:tbl>
      <w:tblPr>
        <w:tblW w:w="10550" w:type="dxa"/>
        <w:tblInd w:w="-818" w:type="dxa"/>
        <w:tblLayout w:type="fixed"/>
        <w:tblCellMar>
          <w:left w:w="0" w:type="dxa"/>
          <w:right w:w="0" w:type="dxa"/>
        </w:tblCellMar>
        <w:tblLook w:val="0000" w:firstRow="0" w:lastRow="0" w:firstColumn="0" w:lastColumn="0" w:noHBand="0" w:noVBand="0"/>
      </w:tblPr>
      <w:tblGrid>
        <w:gridCol w:w="1170"/>
        <w:gridCol w:w="9380"/>
      </w:tblGrid>
      <w:tr w:rsidR="00301E77" w:rsidRPr="00301E77" w:rsidTr="0072015E">
        <w:trPr>
          <w:trHeight w:val="337"/>
        </w:trPr>
        <w:tc>
          <w:tcPr>
            <w:tcW w:w="1055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72015E">
        <w:trPr>
          <w:trHeight w:val="513"/>
        </w:trPr>
        <w:tc>
          <w:tcPr>
            <w:tcW w:w="117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5858" w:type="pct"/>
        <w:tblInd w:w="-818" w:type="dxa"/>
        <w:tblCellMar>
          <w:left w:w="0" w:type="dxa"/>
          <w:right w:w="0" w:type="dxa"/>
        </w:tblCellMar>
        <w:tblLook w:val="0000" w:firstRow="0" w:lastRow="0" w:firstColumn="0" w:lastColumn="0" w:noHBand="0" w:noVBand="0"/>
      </w:tblPr>
      <w:tblGrid>
        <w:gridCol w:w="1171"/>
        <w:gridCol w:w="9358"/>
      </w:tblGrid>
      <w:tr w:rsidR="00301E77" w:rsidRPr="00301E77" w:rsidTr="0072015E">
        <w:trPr>
          <w:trHeight w:val="337"/>
        </w:trPr>
        <w:tc>
          <w:tcPr>
            <w:tcW w:w="5000" w:type="pct"/>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72015E">
        <w:trPr>
          <w:trHeight w:val="513"/>
        </w:trPr>
        <w:tc>
          <w:tcPr>
            <w:tcW w:w="556" w:type="pct"/>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4444" w:type="pct"/>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1252"/>
        <w:gridCol w:w="9548"/>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954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For all plans, retirement benefits are based on a formula which multiplies the final average compensation by the </w:t>
      </w:r>
      <w:r w:rsidR="00027277">
        <w:rPr>
          <w:rFonts w:ascii="Palatino Linotype" w:eastAsiaTheme="minorHAnsi" w:hAnsi="Palatino Linotype" w:cs="Byington"/>
          <w:color w:val="000000"/>
        </w:rPr>
        <w:t>benefit factor</w:t>
      </w:r>
      <w:r w:rsidRPr="00A756A9">
        <w:rPr>
          <w:rFonts w:ascii="Palatino Linotype" w:eastAsiaTheme="minorHAnsi" w:hAnsi="Palatino Linotype" w:cs="Byington"/>
          <w:color w:val="000000"/>
        </w:rPr>
        <w:t>,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bookmarkStart w:id="1" w:name="_Hlk67305088"/>
      <w:r w:rsidRPr="00A756A9">
        <w:rPr>
          <w:rFonts w:ascii="Palatino Linotype" w:eastAsiaTheme="minorHAnsi" w:hAnsi="Palatino Linotype" w:cs="Byington"/>
          <w:b/>
          <w:bCs/>
          <w:u w:val="thick"/>
        </w:rPr>
        <w:t>Payment Options</w:t>
      </w:r>
    </w:p>
    <w:p w:rsidR="00202D35" w:rsidRDefault="00A756A9" w:rsidP="00202D35">
      <w:pPr>
        <w:autoSpaceDE w:val="0"/>
        <w:autoSpaceDN w:val="0"/>
        <w:jc w:val="both"/>
        <w:textAlignment w:val="center"/>
        <w:rPr>
          <w:rFonts w:ascii="Palatino Linotype" w:hAnsi="Palatino Linotype"/>
          <w:sz w:val="22"/>
          <w:szCs w:val="22"/>
        </w:rPr>
      </w:pPr>
      <w:r w:rsidRPr="00A756A9">
        <w:rPr>
          <w:rFonts w:ascii="Palatino Linotype" w:eastAsiaTheme="minorHAnsi" w:hAnsi="Palatino Linotype" w:cs="Byington"/>
        </w:rPr>
        <w:t xml:space="preserve">A retiring member is entitled to receive the maximum </w:t>
      </w:r>
      <w:r w:rsidR="00027277">
        <w:rPr>
          <w:rFonts w:ascii="Palatino Linotype" w:eastAsiaTheme="minorHAnsi" w:hAnsi="Palatino Linotype" w:cs="Byington"/>
        </w:rPr>
        <w:t>monthly benefit</w:t>
      </w:r>
      <w:r w:rsidRPr="00A756A9">
        <w:rPr>
          <w:rFonts w:ascii="Palatino Linotype" w:eastAsiaTheme="minorHAnsi" w:hAnsi="Palatino Linotype" w:cs="Byington"/>
        </w:rPr>
        <w:t xml:space="preserve"> payable until the member’s death.  </w:t>
      </w:r>
      <w:r w:rsidR="00202D35">
        <w:rPr>
          <w:rFonts w:ascii="Palatino Linotype" w:hAnsi="Palatino Linotype"/>
        </w:rPr>
        <w:t xml:space="preserve">However in lieu of the maximum monthly benefit, the member </w:t>
      </w:r>
      <w:r w:rsidR="00202D35">
        <w:rPr>
          <w:rFonts w:ascii="Palatino Linotype" w:hAnsi="Palatino Linotype"/>
        </w:rPr>
        <w:lastRenderedPageBreak/>
        <w:t xml:space="preserve">may elect to receive a reduced monthly benefit (based on a named beneficiary’s age).  In addition, all options (except Option 1) </w:t>
      </w:r>
      <w:r w:rsidR="00FD1A92">
        <w:rPr>
          <w:rFonts w:ascii="Palatino Linotype" w:hAnsi="Palatino Linotype"/>
        </w:rPr>
        <w:t>are allowed</w:t>
      </w:r>
      <w:r w:rsidR="00202D35">
        <w:rPr>
          <w:rFonts w:ascii="Palatino Linotype" w:hAnsi="Palatino Linotype"/>
        </w:rPr>
        <w:t xml:space="preserve"> a lump sum that can’t exceed 36 months of the member</w:t>
      </w:r>
      <w:r w:rsidR="000D037D">
        <w:rPr>
          <w:rFonts w:ascii="Palatino Linotype" w:hAnsi="Palatino Linotype"/>
        </w:rPr>
        <w:t>’</w:t>
      </w:r>
      <w:r w:rsidR="00202D35">
        <w:rPr>
          <w:rFonts w:ascii="Palatino Linotype" w:hAnsi="Palatino Linotype"/>
        </w:rPr>
        <w:t xml:space="preserve">s maximum monthly benefit amount.  </w:t>
      </w:r>
    </w:p>
    <w:p w:rsidR="0070257A" w:rsidRDefault="0070257A" w:rsidP="007F4E51">
      <w:pPr>
        <w:autoSpaceDE w:val="0"/>
        <w:autoSpaceDN w:val="0"/>
        <w:adjustRightInd w:val="0"/>
        <w:jc w:val="both"/>
        <w:textAlignment w:val="center"/>
        <w:rPr>
          <w:rFonts w:ascii="Palatino Linotype" w:eastAsiaTheme="minorHAnsi" w:hAnsi="Palatino Linotype" w:cs="Byington"/>
        </w:rPr>
      </w:pPr>
    </w:p>
    <w:bookmarkEnd w:id="1"/>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Upon termination of employment, the member is entitled to the fixed benefit, an additional benefit based on post-DROP service (if any), and the individual DROP account balance which can be paid in a lump sum or </w:t>
      </w:r>
      <w:r w:rsidR="0088289B">
        <w:rPr>
          <w:rFonts w:ascii="Palatino Linotype" w:eastAsiaTheme="minorHAnsi" w:hAnsi="Palatino Linotype" w:cs="Byington"/>
          <w:color w:val="000000"/>
        </w:rPr>
        <w:t xml:space="preserve">as </w:t>
      </w:r>
      <w:r w:rsidRPr="00A756A9">
        <w:rPr>
          <w:rFonts w:ascii="Palatino Linotype" w:eastAsiaTheme="minorHAnsi" w:hAnsi="Palatino Linotype" w:cs="Byington"/>
          <w:color w:val="000000"/>
        </w:rPr>
        <w:t>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09623E" w:rsidRDefault="0009623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w:t>
      </w:r>
      <w:r w:rsidR="0088289B">
        <w:rPr>
          <w:rFonts w:ascii="Palatino Linotype" w:eastAsiaTheme="minorHAnsi" w:hAnsi="Palatino Linotype" w:cs="Byington"/>
          <w:color w:val="000000"/>
        </w:rPr>
        <w:t>benefit factor</w:t>
      </w:r>
      <w:r w:rsidRPr="007F4E51">
        <w:rPr>
          <w:rFonts w:ascii="Palatino Linotype" w:eastAsiaTheme="minorHAnsi" w:hAnsi="Palatino Linotype" w:cs="Byington"/>
          <w:color w:val="000000"/>
        </w:rPr>
        <w:t xml:space="preserve"> for all creditable service. When a minor child(ren) is no longer eligible to receive survivor benefits, </w:t>
      </w:r>
      <w:r w:rsidR="000D037D">
        <w:rPr>
          <w:rFonts w:ascii="Palatino Linotype" w:eastAsiaTheme="minorHAnsi" w:hAnsi="Palatino Linotype" w:cs="Byington"/>
          <w:color w:val="000000"/>
        </w:rPr>
        <w:t xml:space="preserve">and the deceased member had at least 10 years of creditable service, </w:t>
      </w:r>
      <w:r w:rsidRPr="007F4E51">
        <w:rPr>
          <w:rFonts w:ascii="Palatino Linotype" w:eastAsiaTheme="minorHAnsi" w:hAnsi="Palatino Linotype" w:cs="Byington"/>
          <w:color w:val="000000"/>
        </w:rPr>
        <w:t>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 xml:space="preserve">As fully described in Title 11 of the Louisiana Revised Statutes, the System allows for the payment of </w:t>
      </w:r>
      <w:r w:rsidR="0088289B">
        <w:rPr>
          <w:rFonts w:ascii="Palatino Linotype" w:eastAsiaTheme="minorHAnsi" w:hAnsi="Palatino Linotype" w:cstheme="minorBidi"/>
        </w:rPr>
        <w:t xml:space="preserve">ad hoc </w:t>
      </w:r>
      <w:r w:rsidRPr="007F4E51">
        <w:rPr>
          <w:rFonts w:ascii="Palatino Linotype" w:eastAsiaTheme="minorHAnsi" w:hAnsi="Palatino Linotype" w:cstheme="minorBidi"/>
        </w:rPr>
        <w:t>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0D037D">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517FD8"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lastRenderedPageBreak/>
        <w:t xml:space="preserve">The ORP is a defined contribution pension plan which provides for portability of assets and full and immediate vesting of all contributions submitted on behalf of the </w:t>
      </w:r>
      <w:r w:rsidR="000D037D">
        <w:rPr>
          <w:rFonts w:ascii="Palatino Linotype" w:eastAsiaTheme="minorHAnsi" w:hAnsi="Palatino Linotype" w:cs="Byington"/>
        </w:rPr>
        <w:t>participating</w:t>
      </w:r>
      <w:r w:rsidRPr="00A756A9">
        <w:rPr>
          <w:rFonts w:ascii="Palatino Linotype" w:eastAsiaTheme="minorHAnsi" w:hAnsi="Palatino Linotype" w:cs="Byington"/>
        </w:rPr>
        <w:t xml:space="preserve">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0D037D">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w:t>
      </w:r>
      <w:r w:rsidR="00C40E7C">
        <w:rPr>
          <w:rFonts w:ascii="Palatino Linotype" w:eastAsiaTheme="minorHAnsi" w:hAnsi="Palatino Linotype" w:cs="Byington"/>
          <w:color w:val="000000"/>
        </w:rPr>
        <w:t>2</w:t>
      </w:r>
      <w:r w:rsidR="00A3530F">
        <w:rPr>
          <w:rFonts w:ascii="Palatino Linotype" w:eastAsiaTheme="minorHAnsi" w:hAnsi="Palatino Linotype" w:cs="Byington"/>
          <w:color w:val="000000"/>
        </w:rPr>
        <w:t>4</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p w:rsidR="000D037D" w:rsidRDefault="000D037D" w:rsidP="000D037D">
      <w:pPr>
        <w:autoSpaceDE w:val="0"/>
        <w:autoSpaceDN w:val="0"/>
        <w:adjustRightInd w:val="0"/>
        <w:jc w:val="both"/>
        <w:textAlignment w:val="center"/>
        <w:rPr>
          <w:rFonts w:ascii="Palatino Linotype" w:eastAsiaTheme="minorHAnsi" w:hAnsi="Palatino Linotype" w:cs="Byington"/>
          <w:color w:val="000000"/>
        </w:rPr>
      </w:pP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564051" w:rsidRDefault="005F506B" w:rsidP="00564051">
            <w:pPr>
              <w:autoSpaceDE w:val="0"/>
              <w:autoSpaceDN w:val="0"/>
              <w:adjustRightInd w:val="0"/>
              <w:jc w:val="center"/>
              <w:textAlignment w:val="center"/>
              <w:rPr>
                <w:rFonts w:ascii="Byington" w:eastAsia="Calibri" w:hAnsi="Byington" w:cs="Byington"/>
                <w:b/>
                <w:bCs/>
                <w:color w:val="000000"/>
              </w:rPr>
            </w:pPr>
            <w:r w:rsidRPr="00A756A9">
              <w:rPr>
                <w:rFonts w:ascii="Byington" w:eastAsia="Calibri" w:hAnsi="Byington" w:cs="Byington"/>
                <w:b/>
                <w:bCs/>
                <w:color w:val="000000"/>
              </w:rPr>
              <w:t>20</w:t>
            </w:r>
            <w:r w:rsidR="00564051">
              <w:rPr>
                <w:rFonts w:ascii="Byington" w:eastAsia="Calibri" w:hAnsi="Byington" w:cs="Byington"/>
                <w:b/>
                <w:bCs/>
                <w:color w:val="000000"/>
              </w:rPr>
              <w:t>2</w:t>
            </w:r>
            <w:r w:rsidR="00A3530F">
              <w:rPr>
                <w:rFonts w:ascii="Byington" w:eastAsia="Calibri" w:hAnsi="Byington" w:cs="Byington"/>
                <w:b/>
                <w:bCs/>
                <w:color w:val="000000"/>
              </w:rPr>
              <w:t>4</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FD66B8"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164F0F">
              <w:rPr>
                <w:rFonts w:ascii="Byington" w:eastAsia="Calibri" w:hAnsi="Byington" w:cs="Byington"/>
                <w:color w:val="000000"/>
              </w:rPr>
              <w:t>4</w:t>
            </w:r>
            <w:r>
              <w:rPr>
                <w:rFonts w:ascii="Byington" w:eastAsia="Calibri" w:hAnsi="Byington" w:cs="Byington"/>
                <w:color w:val="000000"/>
              </w:rPr>
              <w:t>.</w:t>
            </w:r>
            <w:r w:rsidR="00A3530F">
              <w:rPr>
                <w:rFonts w:ascii="Byington" w:eastAsia="Calibri" w:hAnsi="Byington" w:cs="Byington"/>
                <w:color w:val="000000"/>
              </w:rPr>
              <w:t>1</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A3530F">
              <w:rPr>
                <w:rFonts w:ascii="Byington" w:eastAsia="Calibri" w:hAnsi="Byington" w:cs="Byington"/>
                <w:color w:val="000000"/>
              </w:rPr>
              <w:t>3.3</w:t>
            </w:r>
            <w:r w:rsidR="005F506B" w:rsidRPr="00A756A9">
              <w:rPr>
                <w:rFonts w:ascii="Byington" w:eastAsia="Calibri" w:hAnsi="Byington" w:cs="Byington"/>
                <w:color w:val="000000"/>
              </w:rPr>
              <w:t>%</w:t>
            </w: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0D037D" w:rsidP="00EE1E9B">
            <w:pPr>
              <w:autoSpaceDE w:val="0"/>
              <w:autoSpaceDN w:val="0"/>
              <w:adjustRightInd w:val="0"/>
              <w:jc w:val="center"/>
              <w:textAlignment w:val="center"/>
              <w:rPr>
                <w:rFonts w:ascii="Byington" w:eastAsiaTheme="minorHAnsi" w:hAnsi="Byington" w:cs="Byington"/>
                <w:b/>
                <w:bCs/>
                <w:color w:val="000000"/>
              </w:rPr>
            </w:pPr>
            <w:r>
              <w:rPr>
                <w:rFonts w:ascii="Byington" w:eastAsiaTheme="minorHAnsi" w:hAnsi="Byington" w:cs="Byington"/>
                <w:b/>
                <w:bCs/>
                <w:color w:val="000000"/>
              </w:rPr>
              <w:t>O</w:t>
            </w:r>
            <w:r w:rsidR="00596715" w:rsidRPr="00143387">
              <w:rPr>
                <w:rFonts w:ascii="Byington" w:eastAsiaTheme="minorHAnsi" w:hAnsi="Byington" w:cs="Byington"/>
                <w:b/>
                <w:bCs/>
                <w:color w:val="000000"/>
              </w:rPr>
              <w:t>RP</w:t>
            </w:r>
          </w:p>
        </w:tc>
      </w:tr>
      <w:tr w:rsidR="00596715" w:rsidRPr="00A756A9" w:rsidTr="008010D2">
        <w:trPr>
          <w:trHeight w:val="2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853A5F">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w:t>
            </w:r>
            <w:r w:rsidR="00564051">
              <w:rPr>
                <w:rFonts w:ascii="Byington" w:eastAsiaTheme="minorHAnsi" w:hAnsi="Byington" w:cs="Byington"/>
                <w:color w:val="000000"/>
              </w:rPr>
              <w:t>2</w:t>
            </w:r>
            <w:r w:rsidR="00A3530F">
              <w:rPr>
                <w:rFonts w:ascii="Byington" w:eastAsiaTheme="minorHAnsi" w:hAnsi="Byington" w:cs="Byington"/>
                <w:color w:val="000000"/>
              </w:rPr>
              <w:t>4</w:t>
            </w:r>
          </w:p>
        </w:tc>
        <w:tc>
          <w:tcPr>
            <w:tcW w:w="1882" w:type="dxa"/>
          </w:tcPr>
          <w:p w:rsidR="00596715" w:rsidRPr="00143387" w:rsidRDefault="00596715" w:rsidP="00B15433">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164F0F">
              <w:rPr>
                <w:rFonts w:ascii="Byington" w:eastAsiaTheme="minorHAnsi" w:hAnsi="Byington" w:cs="Minion Pro"/>
                <w:color w:val="000000"/>
              </w:rPr>
              <w:t>0</w:t>
            </w:r>
            <w:r w:rsidR="009D151F">
              <w:rPr>
                <w:rFonts w:ascii="Byington" w:eastAsiaTheme="minorHAnsi" w:hAnsi="Byington" w:cs="Minion Pro"/>
                <w:color w:val="000000"/>
              </w:rPr>
              <w:t>.</w:t>
            </w:r>
            <w:r w:rsidR="00A3530F">
              <w:rPr>
                <w:rFonts w:ascii="Byington" w:eastAsiaTheme="minorHAnsi" w:hAnsi="Byington" w:cs="Minion Pro"/>
                <w:color w:val="000000"/>
              </w:rPr>
              <w:t>16</w:t>
            </w:r>
            <w:r>
              <w:rPr>
                <w:rFonts w:ascii="Byington" w:eastAsiaTheme="minorHAnsi" w:hAnsi="Byington" w:cs="Minion Pro"/>
                <w:color w:val="000000"/>
              </w:rPr>
              <w:t>%</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0D037D">
      <w:pPr>
        <w:jc w:val="both"/>
        <w:rPr>
          <w:rFonts w:ascii="Palatino Linotype" w:eastAsiaTheme="minorHAnsi" w:hAnsi="Palatino Linotype" w:cstheme="minorBidi"/>
        </w:rPr>
      </w:pPr>
      <w:r w:rsidRPr="00A756A9">
        <w:rPr>
          <w:rFonts w:ascii="Palatino Linotype" w:eastAsiaTheme="minorHAnsi" w:hAnsi="Palatino Linotype" w:cstheme="minorBidi"/>
        </w:rPr>
        <w:t xml:space="preserve">The </w:t>
      </w:r>
      <w:proofErr w:type="gramStart"/>
      <w:r w:rsidRPr="00A756A9">
        <w:rPr>
          <w:rFonts w:ascii="Palatino Linotype" w:eastAsiaTheme="minorHAnsi" w:hAnsi="Palatino Linotype" w:cstheme="minorBidi"/>
        </w:rPr>
        <w:t>agency’s</w:t>
      </w:r>
      <w:proofErr w:type="gramEnd"/>
      <w:r w:rsidRPr="00A756A9">
        <w:rPr>
          <w:rFonts w:ascii="Palatino Linotype" w:eastAsiaTheme="minorHAnsi" w:hAnsi="Palatino Linotype" w:cstheme="minorBidi"/>
        </w:rPr>
        <w:t xml:space="preserve"> contractually required composite contribution rate for the year ended June 30, 20</w:t>
      </w:r>
      <w:r w:rsidR="00564051">
        <w:rPr>
          <w:rFonts w:ascii="Palatino Linotype" w:eastAsiaTheme="minorHAnsi" w:hAnsi="Palatino Linotype" w:cstheme="minorBidi"/>
        </w:rPr>
        <w:t>2</w:t>
      </w:r>
      <w:r w:rsidR="00A3530F">
        <w:rPr>
          <w:rFonts w:ascii="Palatino Linotype" w:eastAsiaTheme="minorHAnsi" w:hAnsi="Palatino Linotype" w:cstheme="minorBidi"/>
        </w:rPr>
        <w:t>4</w:t>
      </w:r>
      <w:r w:rsidR="00A83146">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w:t>
      </w:r>
      <w:r w:rsidR="00564051">
        <w:rPr>
          <w:rFonts w:ascii="Palatino Linotype" w:eastAsiaTheme="minorHAnsi" w:hAnsi="Palatino Linotype" w:cstheme="minorBidi"/>
        </w:rPr>
        <w:t>2</w:t>
      </w:r>
      <w:r w:rsidR="00A3530F">
        <w:rPr>
          <w:rFonts w:ascii="Palatino Linotype" w:eastAsiaTheme="minorHAnsi" w:hAnsi="Palatino Linotype" w:cstheme="minorBidi"/>
        </w:rPr>
        <w:t>4</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w:t>
      </w:r>
      <w:r w:rsidR="0088289B">
        <w:rPr>
          <w:rFonts w:ascii="Palatino Linotype" w:eastAsia="Cambria" w:hAnsi="Palatino Linotype"/>
          <w:b/>
        </w:rPr>
        <w:t>ty</w:t>
      </w:r>
      <w:r w:rsidRPr="00A756A9">
        <w:rPr>
          <w:rFonts w:ascii="Palatino Linotype" w:eastAsia="Cambria" w:hAnsi="Palatino Linotype"/>
          <w:b/>
        </w:rPr>
        <w:t>,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A3530F">
        <w:rPr>
          <w:rFonts w:ascii="Palatino Linotype" w:eastAsia="Cambria" w:hAnsi="Palatino Linotype"/>
        </w:rPr>
        <w:t>4</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w:t>
      </w:r>
      <w:r w:rsidR="0009623E">
        <w:rPr>
          <w:rFonts w:ascii="Palatino Linotype" w:eastAsia="Cambria" w:hAnsi="Palatino Linotype"/>
        </w:rPr>
        <w:t>2</w:t>
      </w:r>
      <w:r w:rsidR="00A3530F">
        <w:rPr>
          <w:rFonts w:ascii="Palatino Linotype" w:eastAsia="Cambria" w:hAnsi="Palatino Linotype"/>
        </w:rPr>
        <w:t>3</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w:t>
      </w:r>
      <w:r w:rsidR="0009623E">
        <w:rPr>
          <w:rFonts w:ascii="Palatino Linotype" w:eastAsia="Cambria" w:hAnsi="Palatino Linotype"/>
        </w:rPr>
        <w:t>2</w:t>
      </w:r>
      <w:r w:rsidR="00A3530F">
        <w:rPr>
          <w:rFonts w:ascii="Palatino Linotype" w:eastAsia="Cambria" w:hAnsi="Palatino Linotype"/>
        </w:rPr>
        <w:t>3</w:t>
      </w:r>
      <w:r w:rsidRPr="00A756A9">
        <w:rPr>
          <w:rFonts w:ascii="Palatino Linotype" w:eastAsia="Cambria" w:hAnsi="Palatino Linotype"/>
        </w:rPr>
        <w:t>, the Agency’s proportion was [</w:t>
      </w:r>
      <w:r w:rsidRPr="00A756A9">
        <w:rPr>
          <w:rFonts w:ascii="Palatino Linotype" w:eastAsia="Cambria" w:hAnsi="Palatino Linotype"/>
          <w:highlight w:val="cyan"/>
        </w:rPr>
        <w:t xml:space="preserve">Exhibit 2 Column </w:t>
      </w:r>
      <w:proofErr w:type="gramStart"/>
      <w:r w:rsidRPr="00A756A9">
        <w:rPr>
          <w:rFonts w:ascii="Palatino Linotype" w:eastAsia="Cambria" w:hAnsi="Palatino Linotype"/>
          <w:highlight w:val="cyan"/>
        </w:rPr>
        <w:t>B</w:t>
      </w:r>
      <w:r w:rsidRPr="00A756A9">
        <w:rPr>
          <w:rFonts w:ascii="Palatino Linotype" w:eastAsia="Cambria" w:hAnsi="Palatino Linotype"/>
        </w:rPr>
        <w:t>]%</w:t>
      </w:r>
      <w:proofErr w:type="gramEnd"/>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C40E7C">
        <w:rPr>
          <w:rFonts w:ascii="Palatino Linotype" w:eastAsia="Cambria" w:hAnsi="Palatino Linotype"/>
          <w:highlight w:val="cyan"/>
        </w:rPr>
        <w:t>C</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w:t>
      </w:r>
      <w:r w:rsidR="0092226F">
        <w:rPr>
          <w:rFonts w:ascii="Palatino Linotype" w:eastAsia="Cambria" w:hAnsi="Palatino Linotype"/>
        </w:rPr>
        <w:t>2</w:t>
      </w:r>
      <w:r w:rsidR="00A3530F">
        <w:rPr>
          <w:rFonts w:ascii="Palatino Linotype" w:eastAsia="Cambria" w:hAnsi="Palatino Linotype"/>
        </w:rPr>
        <w:t>2</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0D037D"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w:t>
      </w:r>
      <w:r w:rsidR="00564051">
        <w:rPr>
          <w:rFonts w:ascii="Palatino Linotype" w:eastAsia="Cambria" w:hAnsi="Palatino Linotype"/>
        </w:rPr>
        <w:t>2</w:t>
      </w:r>
      <w:r w:rsidR="00A3530F">
        <w:rPr>
          <w:rFonts w:ascii="Palatino Linotype" w:eastAsia="Cambria" w:hAnsi="Palatino Linotype"/>
        </w:rPr>
        <w:t>4</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C40E7C">
        <w:rPr>
          <w:rFonts w:ascii="Palatino Linotype" w:eastAsia="Cambria" w:hAnsi="Palatino Linotype"/>
          <w:color w:val="FF0000"/>
          <w:highlight w:val="cyan"/>
        </w:rPr>
        <w:t>D</w:t>
      </w:r>
      <w:r w:rsidR="00C40E7C" w:rsidRPr="00C40E7C">
        <w:rPr>
          <w:rFonts w:ascii="Palatino Linotype" w:eastAsia="Cambria" w:hAnsi="Palatino Linotype"/>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plus employer’s amortization of change in proportionate 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0D037D" w:rsidRDefault="000D037D">
      <w:pPr>
        <w:rPr>
          <w:rFonts w:ascii="Palatino Linotype" w:eastAsia="Cambria" w:hAnsi="Palatino Linotype"/>
          <w:highlight w:val="yellow"/>
        </w:rPr>
      </w:pPr>
      <w:r>
        <w:rPr>
          <w:rFonts w:ascii="Palatino Linotype" w:eastAsia="Cambria" w:hAnsi="Palatino Linotype"/>
          <w:highlight w:val="yellow"/>
        </w:rPr>
        <w:br w:type="page"/>
      </w:r>
    </w:p>
    <w:p w:rsidR="0070257A" w:rsidRDefault="00A756A9" w:rsidP="00A756A9">
      <w:pPr>
        <w:jc w:val="both"/>
        <w:rPr>
          <w:rFonts w:ascii="Palatino Linotype" w:eastAsia="Cambria" w:hAnsi="Palatino Linotype"/>
        </w:rPr>
      </w:pPr>
      <w:r w:rsidRPr="00A756A9">
        <w:rPr>
          <w:rFonts w:ascii="Palatino Linotype" w:eastAsia="Cambria" w:hAnsi="Palatino Linotype"/>
        </w:rPr>
        <w:lastRenderedPageBreak/>
        <w:t>At June 30, 20</w:t>
      </w:r>
      <w:r w:rsidR="00564051">
        <w:rPr>
          <w:rFonts w:ascii="Palatino Linotype" w:eastAsia="Cambria" w:hAnsi="Palatino Linotype"/>
        </w:rPr>
        <w:t>2</w:t>
      </w:r>
      <w:r w:rsidR="00A3530F">
        <w:rPr>
          <w:rFonts w:ascii="Palatino Linotype" w:eastAsia="Cambria" w:hAnsi="Palatino Linotype"/>
        </w:rPr>
        <w:t>4</w:t>
      </w:r>
      <w:r w:rsidRPr="00A756A9">
        <w:rPr>
          <w:rFonts w:ascii="Palatino Linotype" w:eastAsia="Cambria" w:hAnsi="Palatino Linotype"/>
        </w:rPr>
        <w:t>, the Agency reported deferred outflows of resources and deferred inflows of resources related to pensions from the following sources:</w:t>
      </w:r>
    </w:p>
    <w:p w:rsidR="00C40E7C" w:rsidRDefault="00C40E7C" w:rsidP="00A756A9">
      <w:pPr>
        <w:rPr>
          <w:rFonts w:ascii="Palatino Linotype" w:eastAsia="Cambria" w:hAnsi="Palatino Linotype"/>
        </w:rPr>
      </w:pPr>
      <w:bookmarkStart w:id="2" w:name="_MON_1528194582"/>
      <w:bookmarkStart w:id="3" w:name="_MON_1496901729"/>
      <w:bookmarkStart w:id="4" w:name="_MON_1552135972"/>
      <w:bookmarkStart w:id="5" w:name="_MON_1588408560"/>
      <w:bookmarkStart w:id="6" w:name="_MON_1588408611"/>
      <w:bookmarkStart w:id="7" w:name="_MON_1528198716"/>
      <w:bookmarkStart w:id="8" w:name="_MON_1552306687"/>
      <w:bookmarkStart w:id="9" w:name="_MON_1496901832"/>
      <w:bookmarkStart w:id="10" w:name="_MON_1554789466"/>
      <w:bookmarkStart w:id="11" w:name="_MON_1486372757"/>
      <w:bookmarkEnd w:id="2"/>
      <w:bookmarkEnd w:id="3"/>
      <w:bookmarkEnd w:id="4"/>
      <w:bookmarkEnd w:id="5"/>
      <w:bookmarkEnd w:id="6"/>
      <w:bookmarkEnd w:id="7"/>
      <w:bookmarkEnd w:id="8"/>
      <w:bookmarkEnd w:id="9"/>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430"/>
        <w:gridCol w:w="2425"/>
      </w:tblGrid>
      <w:tr w:rsidR="00C40E7C" w:rsidRPr="00C40E7C" w:rsidTr="006855D6">
        <w:tc>
          <w:tcPr>
            <w:tcW w:w="4135" w:type="dxa"/>
          </w:tcPr>
          <w:p w:rsidR="00C40E7C" w:rsidRPr="00C40E7C" w:rsidRDefault="00C40E7C" w:rsidP="00A756A9">
            <w:pPr>
              <w:rPr>
                <w:rFonts w:ascii="Palatino Linotype" w:eastAsia="Cambria" w:hAnsi="Palatino Linotype"/>
                <w:sz w:val="22"/>
                <w:szCs w:val="22"/>
              </w:rPr>
            </w:pPr>
          </w:p>
        </w:tc>
        <w:tc>
          <w:tcPr>
            <w:tcW w:w="2430" w:type="dxa"/>
            <w:tcBorders>
              <w:bottom w:val="single" w:sz="4" w:space="0" w:color="auto"/>
              <w:right w:val="single" w:sz="8" w:space="0" w:color="FFFFFF" w:themeColor="background1"/>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Outflows of Resources</w:t>
            </w:r>
          </w:p>
        </w:tc>
        <w:tc>
          <w:tcPr>
            <w:tcW w:w="2425" w:type="dxa"/>
            <w:tcBorders>
              <w:left w:val="single" w:sz="8" w:space="0" w:color="FFFFFF" w:themeColor="background1"/>
              <w:bottom w:val="single" w:sz="4" w:space="0" w:color="auto"/>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Inflows of Resources</w:t>
            </w:r>
          </w:p>
        </w:tc>
      </w:tr>
      <w:tr w:rsidR="006D654C" w:rsidRPr="00C40E7C" w:rsidTr="006D654C">
        <w:tc>
          <w:tcPr>
            <w:tcW w:w="4135" w:type="dxa"/>
            <w:tcBorders>
              <w:right w:val="single" w:sz="4" w:space="0" w:color="FFFFFF" w:themeColor="background1"/>
            </w:tcBorders>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Difference between expected and actual experience</w:t>
            </w:r>
          </w:p>
        </w:tc>
        <w:tc>
          <w:tcPr>
            <w:tcW w:w="2430" w:type="dxa"/>
            <w:tcBorders>
              <w:top w:val="single" w:sz="4" w:space="0" w:color="auto"/>
              <w:left w:val="single" w:sz="4" w:space="0" w:color="FFFFFF" w:themeColor="background1"/>
              <w:bottom w:val="single" w:sz="8"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E]</w:t>
            </w:r>
          </w:p>
        </w:tc>
        <w:tc>
          <w:tcPr>
            <w:tcW w:w="2425" w:type="dxa"/>
            <w:tcBorders>
              <w:top w:val="single" w:sz="4" w:space="0" w:color="auto"/>
              <w:left w:val="single" w:sz="8" w:space="0" w:color="FFFFFF" w:themeColor="background1"/>
              <w:bottom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H]</w:t>
            </w:r>
          </w:p>
        </w:tc>
      </w:tr>
      <w:tr w:rsidR="006D654C" w:rsidRPr="00C40E7C" w:rsidTr="006D654C">
        <w:trPr>
          <w:trHeight w:val="413"/>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Changes of assumptions</w:t>
            </w:r>
          </w:p>
        </w:tc>
        <w:tc>
          <w:tcPr>
            <w:tcW w:w="2430" w:type="dxa"/>
            <w:tcBorders>
              <w:top w:val="single" w:sz="8" w:space="0" w:color="FFFFFF" w:themeColor="background1"/>
              <w:bottom w:val="single" w:sz="4"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 xml:space="preserve">  [Exhibit 2 Column F]</w:t>
            </w: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I]</w:t>
            </w: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Net difference between projected and actual earnings on pension plan investments</w:t>
            </w:r>
          </w:p>
        </w:tc>
        <w:tc>
          <w:tcPr>
            <w:tcW w:w="2430" w:type="dxa"/>
            <w:tcBorders>
              <w:top w:val="single" w:sz="4" w:space="0" w:color="FFFFFF" w:themeColor="background1"/>
              <w:bottom w:val="single" w:sz="4" w:space="0" w:color="FFFFFF" w:themeColor="background1"/>
              <w:right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w:t>
            </w:r>
            <w:r>
              <w:rPr>
                <w:rFonts w:ascii="Palatino Linotype" w:eastAsia="Cambria" w:hAnsi="Palatino Linotype"/>
                <w:sz w:val="22"/>
                <w:szCs w:val="22"/>
              </w:rPr>
              <w:t>s</w:t>
            </w:r>
            <w:r w:rsidRPr="006D654C">
              <w:rPr>
                <w:rFonts w:ascii="Palatino Linotype" w:eastAsia="Cambria" w:hAnsi="Palatino Linotype"/>
                <w:sz w:val="22"/>
                <w:szCs w:val="22"/>
              </w:rPr>
              <w:t xml:space="preserve"> (G+J)]</w:t>
            </w:r>
          </w:p>
        </w:tc>
        <w:tc>
          <w:tcPr>
            <w:tcW w:w="2425" w:type="dxa"/>
            <w:tcBorders>
              <w:top w:val="single" w:sz="8" w:space="0" w:color="FFFFFF" w:themeColor="background1"/>
              <w:left w:val="single" w:sz="4" w:space="0" w:color="FFFFFF" w:themeColor="background1"/>
              <w:bottom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Pr>
                <w:rFonts w:ascii="Palatino Linotype" w:eastAsia="Cambria" w:hAnsi="Palatino Linotype"/>
                <w:sz w:val="22"/>
                <w:szCs w:val="22"/>
              </w:rPr>
              <w:t>N/A</w:t>
            </w:r>
          </w:p>
        </w:tc>
      </w:tr>
      <w:tr w:rsidR="00C40E7C" w:rsidRPr="00C40E7C" w:rsidTr="006855D6">
        <w:tc>
          <w:tcPr>
            <w:tcW w:w="4135" w:type="dxa"/>
          </w:tcPr>
          <w:p w:rsidR="00C40E7C" w:rsidRPr="00C40E7C" w:rsidRDefault="006855D6" w:rsidP="00A756A9">
            <w:pPr>
              <w:rPr>
                <w:rFonts w:ascii="Palatino Linotype" w:eastAsia="Cambria" w:hAnsi="Palatino Linotype"/>
                <w:sz w:val="22"/>
                <w:szCs w:val="22"/>
              </w:rPr>
            </w:pPr>
            <w:r w:rsidRPr="00C40E7C">
              <w:rPr>
                <w:rFonts w:ascii="Palatino Linotype" w:eastAsia="Cambria" w:hAnsi="Palatino Linotype"/>
                <w:sz w:val="22"/>
                <w:szCs w:val="22"/>
              </w:rPr>
              <w:t>Changes</w:t>
            </w:r>
            <w:r w:rsidR="00C40E7C" w:rsidRPr="00C40E7C">
              <w:rPr>
                <w:rFonts w:ascii="Palatino Linotype" w:eastAsia="Cambria" w:hAnsi="Palatino Linotype"/>
                <w:sz w:val="22"/>
                <w:szCs w:val="22"/>
              </w:rPr>
              <w:t xml:space="preserve"> in proportion and differences between Employer contributions and proportionate share of </w:t>
            </w:r>
            <w:r w:rsidRPr="00C40E7C">
              <w:rPr>
                <w:rFonts w:ascii="Palatino Linotype" w:eastAsia="Cambria" w:hAnsi="Palatino Linotype"/>
                <w:sz w:val="22"/>
                <w:szCs w:val="22"/>
              </w:rPr>
              <w:t>contributions</w:t>
            </w:r>
            <w:r w:rsidR="00C40E7C" w:rsidRPr="00C40E7C">
              <w:rPr>
                <w:rFonts w:ascii="Palatino Linotype" w:eastAsia="Cambria" w:hAnsi="Palatino Linotype"/>
                <w:sz w:val="22"/>
                <w:szCs w:val="22"/>
              </w:rPr>
              <w:t xml:space="preserve"> and deferred outflows and inflows of resources</w:t>
            </w:r>
          </w:p>
        </w:tc>
        <w:tc>
          <w:tcPr>
            <w:tcW w:w="2430" w:type="dxa"/>
            <w:tcBorders>
              <w:top w:val="single" w:sz="4" w:space="0" w:color="FFFFFF" w:themeColor="background1"/>
              <w:bottom w:val="single" w:sz="8" w:space="0" w:color="FFFFFF" w:themeColor="background1"/>
              <w:right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Employer contributions subsequent to the measurement date</w:t>
            </w:r>
          </w:p>
        </w:tc>
        <w:tc>
          <w:tcPr>
            <w:tcW w:w="2430" w:type="dxa"/>
            <w:tcBorders>
              <w:top w:val="single" w:sz="8" w:space="0" w:color="FFFFFF" w:themeColor="background1"/>
              <w:bottom w:val="single" w:sz="4" w:space="0" w:color="000000" w:themeColor="text1"/>
              <w:right w:val="single" w:sz="4" w:space="0" w:color="FFFFFF" w:themeColor="background1"/>
            </w:tcBorders>
            <w:shd w:val="clear" w:color="auto" w:fill="FFFF00"/>
            <w:vAlign w:val="bottom"/>
          </w:tcPr>
          <w:p w:rsidR="00C40E7C" w:rsidRPr="006855D6" w:rsidRDefault="006855D6" w:rsidP="006855D6">
            <w:pPr>
              <w:jc w:val="center"/>
              <w:rPr>
                <w:rFonts w:ascii="Palatino Linotype" w:eastAsia="Cambria" w:hAnsi="Palatino Linotype"/>
                <w:sz w:val="22"/>
                <w:szCs w:val="22"/>
                <w:highlight w:val="yellow"/>
              </w:rPr>
            </w:pPr>
            <w:r w:rsidRPr="006855D6">
              <w:rPr>
                <w:rFonts w:ascii="Palatino Linotype" w:eastAsia="Cambria" w:hAnsi="Palatino Linotype"/>
                <w:sz w:val="22"/>
                <w:szCs w:val="22"/>
              </w:rPr>
              <w:t>[insert amount]</w:t>
            </w:r>
          </w:p>
        </w:tc>
        <w:tc>
          <w:tcPr>
            <w:tcW w:w="2425" w:type="dxa"/>
            <w:tcBorders>
              <w:top w:val="single" w:sz="8" w:space="0" w:color="FFFFFF" w:themeColor="background1"/>
              <w:left w:val="single" w:sz="4" w:space="0" w:color="FFFFFF" w:themeColor="background1"/>
              <w:bottom w:val="single" w:sz="4" w:space="0" w:color="000000" w:themeColor="text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rPr>
          <w:trHeight w:val="485"/>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Total</w:t>
            </w:r>
          </w:p>
        </w:tc>
        <w:tc>
          <w:tcPr>
            <w:tcW w:w="2430"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p>
        </w:tc>
        <w:tc>
          <w:tcPr>
            <w:tcW w:w="2425"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r w:rsidR="006D654C" w:rsidRPr="006D654C">
              <w:rPr>
                <w:rFonts w:ascii="Palatino Linotype" w:eastAsia="Cambria" w:hAnsi="Palatino Linotype"/>
                <w:sz w:val="22"/>
                <w:szCs w:val="22"/>
                <w:u w:val="double"/>
              </w:rPr>
              <w:t xml:space="preserve">  </w:t>
            </w:r>
          </w:p>
        </w:tc>
      </w:tr>
    </w:tbl>
    <w:p w:rsidR="00C40E7C" w:rsidRDefault="00C40E7C" w:rsidP="00A756A9">
      <w:pPr>
        <w:rPr>
          <w:rFonts w:ascii="Palatino Linotype" w:eastAsia="Cambria" w:hAnsi="Palatino Linotype"/>
        </w:rPr>
      </w:pPr>
    </w:p>
    <w:p w:rsidR="00A756A9" w:rsidRPr="00A756A9" w:rsidRDefault="00A756A9" w:rsidP="00A756A9">
      <w:pPr>
        <w:rPr>
          <w:rFonts w:asciiTheme="minorHAnsi" w:eastAsiaTheme="minorHAnsi" w:hAnsiTheme="minorHAnsi" w:cstheme="minorBidi"/>
        </w:rPr>
      </w:pP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w:t>
      </w:r>
      <w:r w:rsidR="00564051">
        <w:rPr>
          <w:rFonts w:ascii="Palatino Linotype" w:eastAsia="Cambria" w:hAnsi="Palatino Linotype"/>
        </w:rPr>
        <w:t>2</w:t>
      </w:r>
      <w:r w:rsidR="00A3530F">
        <w:rPr>
          <w:rFonts w:ascii="Palatino Linotype" w:eastAsia="Cambria" w:hAnsi="Palatino Linotype"/>
        </w:rPr>
        <w:t>4</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B15433">
            <w:pPr>
              <w:rPr>
                <w:sz w:val="28"/>
                <w:szCs w:val="28"/>
              </w:rPr>
            </w:pPr>
            <w:r>
              <w:rPr>
                <w:sz w:val="28"/>
                <w:szCs w:val="28"/>
              </w:rPr>
              <w:t>20</w:t>
            </w:r>
            <w:r w:rsidR="009D151F">
              <w:rPr>
                <w:sz w:val="28"/>
                <w:szCs w:val="28"/>
              </w:rPr>
              <w:t>2</w:t>
            </w:r>
            <w:r w:rsidR="00A3530F">
              <w:rPr>
                <w:sz w:val="28"/>
                <w:szCs w:val="28"/>
              </w:rPr>
              <w:t>5</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C906A3" w:rsidRDefault="00AB7A02" w:rsidP="005E3B0B">
            <w:pPr>
              <w:rPr>
                <w:highlight w:val="yellow"/>
              </w:rPr>
            </w:pPr>
            <w:r w:rsidRPr="00C906A3">
              <w:rPr>
                <w:highlight w:val="yellow"/>
              </w:rPr>
              <w:t xml:space="preserve">Plus </w:t>
            </w:r>
            <w:r w:rsidR="005E3B0B" w:rsidRPr="00C906A3">
              <w:rPr>
                <w:highlight w:val="yellow"/>
              </w:rPr>
              <w:t>/Less Amortization of employer specific amounts</w:t>
            </w:r>
          </w:p>
          <w:p w:rsidR="005E3B0B" w:rsidRPr="00C906A3" w:rsidRDefault="005E3B0B" w:rsidP="005E3B0B">
            <w:pPr>
              <w:rPr>
                <w:sz w:val="28"/>
                <w:szCs w:val="28"/>
                <w:highlight w:val="yellow"/>
              </w:rPr>
            </w:pPr>
            <w:r w:rsidRPr="00C906A3">
              <w:rPr>
                <w:highlight w:val="yellow"/>
              </w:rPr>
              <w:t>(ER/Non-ER contribution differences and Change in Proportion</w:t>
            </w:r>
          </w:p>
        </w:tc>
      </w:tr>
      <w:tr w:rsidR="00AB7A02" w:rsidTr="009716FF">
        <w:trPr>
          <w:trHeight w:val="917"/>
        </w:trPr>
        <w:tc>
          <w:tcPr>
            <w:tcW w:w="948" w:type="dxa"/>
          </w:tcPr>
          <w:p w:rsidR="00AB7A02" w:rsidRPr="00587682" w:rsidRDefault="00AB7A02" w:rsidP="00B15433">
            <w:pPr>
              <w:rPr>
                <w:sz w:val="28"/>
                <w:szCs w:val="28"/>
              </w:rPr>
            </w:pPr>
            <w:r>
              <w:rPr>
                <w:sz w:val="28"/>
                <w:szCs w:val="28"/>
              </w:rPr>
              <w:t>20</w:t>
            </w:r>
            <w:r w:rsidR="00164F0F">
              <w:rPr>
                <w:sz w:val="28"/>
                <w:szCs w:val="28"/>
              </w:rPr>
              <w:t>2</w:t>
            </w:r>
            <w:r w:rsidR="00A3530F">
              <w:rPr>
                <w:sz w:val="28"/>
                <w:szCs w:val="28"/>
              </w:rPr>
              <w:t>6</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 xml:space="preserve">(ER/Non-ER contribution differences and Change in </w:t>
            </w:r>
            <w:r w:rsidR="009716FF">
              <w:rPr>
                <w:highlight w:val="yellow"/>
              </w:rPr>
              <w:t>Proportion</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E7EBF">
              <w:rPr>
                <w:sz w:val="28"/>
                <w:szCs w:val="28"/>
              </w:rPr>
              <w:t>2</w:t>
            </w:r>
            <w:r w:rsidR="00A3530F">
              <w:rPr>
                <w:sz w:val="28"/>
                <w:szCs w:val="28"/>
              </w:rPr>
              <w:t>7</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r w:rsidR="00AB7A02" w:rsidTr="00AB7A02">
        <w:trPr>
          <w:trHeight w:val="557"/>
        </w:trPr>
        <w:tc>
          <w:tcPr>
            <w:tcW w:w="948" w:type="dxa"/>
          </w:tcPr>
          <w:p w:rsidR="00AB7A02" w:rsidRPr="00587682" w:rsidRDefault="00AB7A02" w:rsidP="00B15433">
            <w:pPr>
              <w:rPr>
                <w:sz w:val="28"/>
                <w:szCs w:val="28"/>
              </w:rPr>
            </w:pPr>
            <w:r>
              <w:rPr>
                <w:sz w:val="28"/>
                <w:szCs w:val="28"/>
              </w:rPr>
              <w:t>202</w:t>
            </w:r>
            <w:r w:rsidR="00A3530F">
              <w:rPr>
                <w:sz w:val="28"/>
                <w:szCs w:val="28"/>
              </w:rPr>
              <w:t>8</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bl>
    <w:p w:rsidR="00A756A9" w:rsidRPr="00A756A9" w:rsidRDefault="00A756A9" w:rsidP="00A756A9">
      <w:pPr>
        <w:rPr>
          <w:rFonts w:ascii="Palatino Linotype" w:eastAsia="Cambria" w:hAnsi="Palatino Linotype"/>
          <w:b/>
        </w:rPr>
      </w:pPr>
      <w:r w:rsidRPr="00A756A9">
        <w:rPr>
          <w:rFonts w:ascii="Palatino Linotype" w:eastAsia="Cambria" w:hAnsi="Palatino Linotype"/>
          <w:b/>
        </w:rPr>
        <w:lastRenderedPageBreak/>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w:t>
      </w:r>
      <w:r w:rsidR="0009623E">
        <w:rPr>
          <w:rFonts w:ascii="Palatino Linotype" w:eastAsia="Cambria" w:hAnsi="Palatino Linotype"/>
        </w:rPr>
        <w:t>2</w:t>
      </w:r>
      <w:r w:rsidR="00A3530F">
        <w:rPr>
          <w:rFonts w:ascii="Palatino Linotype" w:eastAsia="Cambria" w:hAnsi="Palatino Linotype"/>
        </w:rPr>
        <w:t>3</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803" w:type="dxa"/>
        <w:jc w:val="center"/>
        <w:tblLayout w:type="fixed"/>
        <w:tblCellMar>
          <w:left w:w="0" w:type="dxa"/>
          <w:right w:w="0" w:type="dxa"/>
        </w:tblCellMar>
        <w:tblLook w:val="0000" w:firstRow="0" w:lastRow="0" w:firstColumn="0" w:lastColumn="0" w:noHBand="0" w:noVBand="0"/>
      </w:tblPr>
      <w:tblGrid>
        <w:gridCol w:w="3132"/>
        <w:gridCol w:w="6671"/>
      </w:tblGrid>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70257A">
        <w:trPr>
          <w:trHeight w:val="60"/>
          <w:jc w:val="center"/>
        </w:trPr>
        <w:tc>
          <w:tcPr>
            <w:tcW w:w="313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7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70257A">
        <w:trPr>
          <w:trHeight w:val="667"/>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Expected</w:t>
            </w:r>
            <w:r w:rsidR="009927CD">
              <w:rPr>
                <w:rFonts w:ascii="Palatino Linotype" w:eastAsia="Cambria" w:hAnsi="Palatino Linotype"/>
                <w:b/>
                <w:bCs/>
                <w:sz w:val="22"/>
                <w:szCs w:val="22"/>
              </w:rPr>
              <w:t xml:space="preserve"> </w:t>
            </w:r>
            <w:r w:rsidRPr="00A756A9">
              <w:rPr>
                <w:rFonts w:ascii="Palatino Linotype" w:eastAsia="Cambria" w:hAnsi="Palatino Linotype"/>
                <w:b/>
                <w:bCs/>
                <w:sz w:val="22"/>
                <w:szCs w:val="22"/>
              </w:rPr>
              <w:t xml:space="preserve">Remaining </w:t>
            </w:r>
            <w:r w:rsidRPr="00A756A9">
              <w:rPr>
                <w:rFonts w:ascii="Palatino Linotype" w:eastAsia="Cambria" w:hAnsi="Palatino Linotype"/>
                <w:b/>
                <w:bCs/>
                <w:sz w:val="22"/>
                <w:szCs w:val="22"/>
              </w:rPr>
              <w:br/>
              <w:t>Service Lives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70257A">
        <w:trPr>
          <w:trHeight w:val="35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B15433">
            <w:pPr>
              <w:rPr>
                <w:rFonts w:ascii="Palatino Linotype" w:eastAsia="Cambria" w:hAnsi="Palatino Linotype"/>
                <w:sz w:val="22"/>
                <w:szCs w:val="22"/>
              </w:rPr>
            </w:pPr>
            <w:r w:rsidRPr="00A756A9">
              <w:rPr>
                <w:rFonts w:ascii="Palatino Linotype" w:eastAsia="Cambria" w:hAnsi="Palatino Linotype"/>
                <w:sz w:val="22"/>
                <w:szCs w:val="22"/>
              </w:rPr>
              <w:t>7.</w:t>
            </w:r>
            <w:r w:rsidR="00164F0F">
              <w:rPr>
                <w:rFonts w:ascii="Palatino Linotype" w:eastAsia="Cambria" w:hAnsi="Palatino Linotype"/>
                <w:sz w:val="22"/>
                <w:szCs w:val="22"/>
              </w:rPr>
              <w:t>25</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w:t>
            </w:r>
            <w:r w:rsidR="00A3530F">
              <w:rPr>
                <w:rFonts w:ascii="Palatino Linotype" w:eastAsia="Cambria" w:hAnsi="Palatino Linotype"/>
                <w:sz w:val="22"/>
                <w:szCs w:val="22"/>
              </w:rPr>
              <w:t>4</w:t>
            </w:r>
            <w:r w:rsidRPr="00A756A9">
              <w:rPr>
                <w:rFonts w:ascii="Palatino Linotype" w:eastAsia="Cambria" w:hAnsi="Palatino Linotype"/>
                <w:sz w:val="22"/>
                <w:szCs w:val="22"/>
              </w:rPr>
              <w:t>% per annum</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3530F" w:rsidP="0070257A">
            <w:pPr>
              <w:rPr>
                <w:rFonts w:ascii="Palatino Linotype" w:eastAsia="Cambria" w:hAnsi="Palatino Linotype"/>
                <w:sz w:val="22"/>
                <w:szCs w:val="22"/>
              </w:rPr>
            </w:pPr>
            <w:r w:rsidRPr="00A3530F">
              <w:rPr>
                <w:rFonts w:ascii="Palatino Linotype" w:eastAsia="Cambria" w:hAnsi="Palatino Linotype"/>
                <w:sz w:val="22"/>
                <w:szCs w:val="22"/>
              </w:rPr>
              <w:t>2.41% - 4.85% varies depending on duration of service</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70257A">
        <w:trPr>
          <w:trHeight w:val="665"/>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3530F" w:rsidRPr="00300479" w:rsidRDefault="00A3530F" w:rsidP="00300479">
            <w:pPr>
              <w:rPr>
                <w:rFonts w:ascii="Palatino Linotype" w:eastAsia="Cambria" w:hAnsi="Palatino Linotype"/>
                <w:sz w:val="22"/>
                <w:szCs w:val="22"/>
              </w:rPr>
            </w:pPr>
            <w:r w:rsidRPr="00300479">
              <w:rPr>
                <w:rFonts w:ascii="Palatino Linotype" w:eastAsia="Cambria" w:hAnsi="Palatino Linotype"/>
                <w:sz w:val="22"/>
                <w:szCs w:val="22"/>
              </w:rPr>
              <w:t>Active members – Pub2010T-Below Median Employee (amount weighted) tables for males and females, adjusted by 0.965 for males and by 0.942 for females.</w:t>
            </w:r>
          </w:p>
          <w:p w:rsidR="00A3530F" w:rsidRPr="00300479" w:rsidRDefault="00A3530F" w:rsidP="00300479">
            <w:pPr>
              <w:rPr>
                <w:rFonts w:ascii="Palatino Linotype" w:eastAsia="Cambria" w:hAnsi="Palatino Linotype"/>
                <w:sz w:val="22"/>
                <w:szCs w:val="22"/>
              </w:rPr>
            </w:pPr>
          </w:p>
          <w:p w:rsidR="00A3530F" w:rsidRPr="00300479" w:rsidRDefault="00A3530F" w:rsidP="00300479">
            <w:pPr>
              <w:rPr>
                <w:rFonts w:ascii="Palatino Linotype" w:eastAsia="Cambria" w:hAnsi="Palatino Linotype"/>
                <w:sz w:val="22"/>
                <w:szCs w:val="22"/>
              </w:rPr>
            </w:pPr>
            <w:r w:rsidRPr="00300479">
              <w:rPr>
                <w:rFonts w:ascii="Palatino Linotype" w:eastAsia="Cambria" w:hAnsi="Palatino Linotype"/>
                <w:sz w:val="22"/>
                <w:szCs w:val="22"/>
              </w:rPr>
              <w:t>Non-Disabled retiree/inactive members – Pub2010T-Below Median Retiree (amount weighted) tables for males and females, adjusted by 1.173 for males and by 1.258 for females.</w:t>
            </w:r>
          </w:p>
          <w:p w:rsidR="00A3530F" w:rsidRPr="00300479" w:rsidRDefault="00A3530F" w:rsidP="00300479">
            <w:pPr>
              <w:rPr>
                <w:rFonts w:ascii="Palatino Linotype" w:eastAsia="Cambria" w:hAnsi="Palatino Linotype"/>
                <w:sz w:val="22"/>
                <w:szCs w:val="22"/>
              </w:rPr>
            </w:pPr>
          </w:p>
          <w:p w:rsidR="00A3530F" w:rsidRPr="00300479" w:rsidRDefault="00A3530F" w:rsidP="00300479">
            <w:pPr>
              <w:rPr>
                <w:rFonts w:ascii="Palatino Linotype" w:eastAsia="Cambria" w:hAnsi="Palatino Linotype"/>
                <w:sz w:val="22"/>
                <w:szCs w:val="22"/>
              </w:rPr>
            </w:pPr>
            <w:r w:rsidRPr="00300479">
              <w:rPr>
                <w:rFonts w:ascii="Palatino Linotype" w:eastAsia="Cambria" w:hAnsi="Palatino Linotype"/>
                <w:sz w:val="22"/>
                <w:szCs w:val="22"/>
              </w:rPr>
              <w:t>Disability retiree mortality – Pub2010T-Disability (amount weighted) tables for males and females, adjusted by factors of 1.043 for males and by 1.092 for females.</w:t>
            </w:r>
          </w:p>
          <w:p w:rsidR="00A3530F" w:rsidRPr="00300479" w:rsidRDefault="00A3530F" w:rsidP="00300479">
            <w:pPr>
              <w:rPr>
                <w:rFonts w:ascii="Palatino Linotype" w:eastAsia="Cambria" w:hAnsi="Palatino Linotype"/>
                <w:sz w:val="22"/>
                <w:szCs w:val="22"/>
              </w:rPr>
            </w:pPr>
          </w:p>
          <w:p w:rsidR="00A3530F" w:rsidRPr="00300479" w:rsidRDefault="00A3530F" w:rsidP="00300479">
            <w:pPr>
              <w:rPr>
                <w:rFonts w:ascii="Palatino Linotype" w:eastAsia="Cambria" w:hAnsi="Palatino Linotype"/>
                <w:sz w:val="22"/>
                <w:szCs w:val="22"/>
              </w:rPr>
            </w:pPr>
            <w:r w:rsidRPr="00300479">
              <w:rPr>
                <w:rFonts w:ascii="Palatino Linotype" w:eastAsia="Cambria" w:hAnsi="Palatino Linotype"/>
                <w:sz w:val="22"/>
                <w:szCs w:val="22"/>
              </w:rPr>
              <w:t>Contingent survivor mortality – Pub2010T-Below Median – Contingent Survivor (amount weighted) tables for males and females, adjusted by factors of 1.079 for males and by 0.919 for females.</w:t>
            </w:r>
          </w:p>
          <w:p w:rsidR="00A3530F" w:rsidRPr="00300479" w:rsidRDefault="00A3530F" w:rsidP="00300479">
            <w:pPr>
              <w:rPr>
                <w:rFonts w:ascii="Palatino Linotype" w:eastAsia="Cambria" w:hAnsi="Palatino Linotype"/>
                <w:sz w:val="22"/>
                <w:szCs w:val="22"/>
              </w:rPr>
            </w:pPr>
          </w:p>
          <w:p w:rsidR="00A756A9" w:rsidRPr="00A756A9" w:rsidRDefault="00A3530F" w:rsidP="00A3530F">
            <w:pPr>
              <w:rPr>
                <w:rFonts w:ascii="Palatino Linotype" w:eastAsia="Cambria" w:hAnsi="Palatino Linotype"/>
                <w:sz w:val="22"/>
                <w:szCs w:val="22"/>
              </w:rPr>
            </w:pPr>
            <w:r w:rsidRPr="00300479">
              <w:rPr>
                <w:rFonts w:ascii="Palatino Linotype" w:eastAsia="Cambria" w:hAnsi="Palatino Linotype"/>
                <w:sz w:val="22"/>
                <w:szCs w:val="22"/>
              </w:rPr>
              <w:t>These base tables are adjusted from 2010 to 2019 (base year, representing the mid-point of the experience study) with continued future mortality improvement using the MP-2021 improvement table on a fully generational basis.</w:t>
            </w:r>
          </w:p>
        </w:tc>
      </w:tr>
      <w:tr w:rsidR="00A756A9" w:rsidRPr="00A756A9" w:rsidTr="0070257A">
        <w:trPr>
          <w:trHeight w:val="953"/>
          <w:jc w:val="center"/>
        </w:trPr>
        <w:tc>
          <w:tcPr>
            <w:tcW w:w="3132"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lastRenderedPageBreak/>
              <w:t>Termination and disability</w:t>
            </w:r>
          </w:p>
        </w:tc>
        <w:tc>
          <w:tcPr>
            <w:tcW w:w="6671"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300479" w:rsidP="0070257A">
            <w:pPr>
              <w:rPr>
                <w:rFonts w:ascii="Palatino Linotype" w:eastAsia="Cambria" w:hAnsi="Palatino Linotype"/>
                <w:sz w:val="22"/>
                <w:szCs w:val="22"/>
              </w:rPr>
            </w:pPr>
            <w:r w:rsidRPr="00300479">
              <w:rPr>
                <w:rFonts w:ascii="Palatino Linotype" w:eastAsia="Cambria" w:hAnsi="Palatino Linotype"/>
                <w:sz w:val="22"/>
                <w:szCs w:val="22"/>
              </w:rPr>
              <w:t>Termination, disability, and retirement assumptions were projected based on a 5-year (2018 - 2022) experience study of the System's members.</w:t>
            </w:r>
          </w:p>
        </w:tc>
      </w:tr>
    </w:tbl>
    <w:p w:rsidR="00D42AF9" w:rsidRPr="008964EC" w:rsidRDefault="005A04D3" w:rsidP="00D42AF9">
      <w:pPr>
        <w:jc w:val="both"/>
        <w:rPr>
          <w:rFonts w:ascii="Palatino Linotype" w:eastAsiaTheme="minorHAnsi" w:hAnsi="Palatino Linotype" w:cstheme="minorBidi"/>
          <w:i/>
          <w:sz w:val="22"/>
          <w:szCs w:val="22"/>
        </w:rPr>
      </w:pPr>
      <w:r>
        <w:rPr>
          <w:rFonts w:ascii="Palatino Linotype" w:eastAsiaTheme="minorHAnsi" w:hAnsi="Palatino Linotype" w:cstheme="minorBidi"/>
        </w:rPr>
        <w:t>*</w:t>
      </w:r>
      <w:r w:rsidRPr="008964EC">
        <w:rPr>
          <w:rFonts w:ascii="Palatino Linotype" w:eastAsiaTheme="minorHAnsi" w:hAnsi="Palatino Linotype" w:cstheme="minorBidi"/>
          <w:i/>
          <w:sz w:val="22"/>
          <w:szCs w:val="22"/>
        </w:rPr>
        <w:t>T</w:t>
      </w:r>
      <w:r w:rsidR="00D42AF9" w:rsidRPr="008964EC">
        <w:rPr>
          <w:rFonts w:ascii="Palatino Linotype" w:eastAsiaTheme="minorHAnsi" w:hAnsi="Palatino Linotype" w:cstheme="minorBidi"/>
          <w:i/>
          <w:sz w:val="22"/>
          <w:szCs w:val="22"/>
        </w:rPr>
        <w:t xml:space="preserve">he investment rate of return used in the actuarial valuation for funding purposes was </w:t>
      </w:r>
      <w:r w:rsidR="009D151F" w:rsidRPr="008964EC">
        <w:rPr>
          <w:rFonts w:ascii="Palatino Linotype" w:eastAsiaTheme="minorHAnsi" w:hAnsi="Palatino Linotype" w:cstheme="minorBidi"/>
          <w:i/>
          <w:sz w:val="22"/>
          <w:szCs w:val="22"/>
        </w:rPr>
        <w:t>7.</w:t>
      </w:r>
      <w:r w:rsidR="00164F0F">
        <w:rPr>
          <w:rFonts w:ascii="Palatino Linotype" w:eastAsiaTheme="minorHAnsi" w:hAnsi="Palatino Linotype" w:cstheme="minorBidi"/>
          <w:i/>
          <w:sz w:val="22"/>
          <w:szCs w:val="22"/>
        </w:rPr>
        <w:t>6</w:t>
      </w:r>
      <w:r w:rsidR="00D42AF9" w:rsidRPr="008964EC">
        <w:rPr>
          <w:rFonts w:ascii="Palatino Linotype" w:eastAsiaTheme="minorHAnsi" w:hAnsi="Palatino Linotype" w:cstheme="minorBidi"/>
          <w:i/>
          <w:sz w:val="22"/>
          <w:szCs w:val="22"/>
        </w:rPr>
        <w:t xml:space="preserve">%, recognizing an additional </w:t>
      </w:r>
      <w:r w:rsidR="0009623E">
        <w:rPr>
          <w:rFonts w:ascii="Palatino Linotype" w:eastAsiaTheme="minorHAnsi" w:hAnsi="Palatino Linotype" w:cstheme="minorBidi"/>
          <w:i/>
          <w:sz w:val="22"/>
          <w:szCs w:val="22"/>
        </w:rPr>
        <w:t>35</w:t>
      </w:r>
      <w:r w:rsidR="00D42AF9" w:rsidRPr="008964EC">
        <w:rPr>
          <w:rFonts w:ascii="Palatino Linotype" w:eastAsiaTheme="minorHAnsi" w:hAnsi="Palatino Linotype" w:cstheme="minorBidi"/>
          <w:i/>
          <w:sz w:val="22"/>
          <w:szCs w:val="22"/>
        </w:rPr>
        <w:t xml:space="preserve"> basis points </w:t>
      </w:r>
      <w:r w:rsidR="00F86C56">
        <w:rPr>
          <w:rFonts w:ascii="Palatino Linotype" w:eastAsiaTheme="minorHAnsi" w:hAnsi="Palatino Linotype" w:cstheme="minorBidi"/>
          <w:i/>
          <w:sz w:val="22"/>
          <w:szCs w:val="22"/>
        </w:rPr>
        <w:t>gain sharing</w:t>
      </w:r>
      <w:r w:rsidR="00D42AF9" w:rsidRPr="008964EC">
        <w:rPr>
          <w:rFonts w:ascii="Palatino Linotype" w:eastAsiaTheme="minorHAnsi" w:hAnsi="Palatino Linotype" w:cstheme="minorBidi"/>
          <w:i/>
          <w:sz w:val="22"/>
          <w:szCs w:val="22"/>
        </w:rPr>
        <w:t>.</w:t>
      </w:r>
      <w:r w:rsidR="008964EC" w:rsidRPr="008964EC">
        <w:rPr>
          <w:rFonts w:ascii="Palatino Linotype" w:eastAsiaTheme="minorHAnsi" w:hAnsi="Palatino Linotype" w:cstheme="minorBidi"/>
          <w:i/>
          <w:sz w:val="22"/>
          <w:szCs w:val="22"/>
        </w:rPr>
        <w:t xml:space="preserve">  Per Act 94 of 2016, noninvestment-related administrative expenses are directly funded with employer contributions as a percentage of projected payroll.</w:t>
      </w:r>
    </w:p>
    <w:p w:rsidR="00D42AF9" w:rsidRPr="005A04D3" w:rsidRDefault="00D42AF9" w:rsidP="00A756A9">
      <w:pPr>
        <w:jc w:val="both"/>
        <w:rPr>
          <w:rFonts w:ascii="Palatino Linotype" w:eastAsia="Cambria" w:hAnsi="Palatino Linotype"/>
          <w:sz w:val="22"/>
          <w:szCs w:val="22"/>
        </w:rPr>
      </w:pPr>
    </w:p>
    <w:p w:rsidR="00300479" w:rsidRPr="00300479" w:rsidRDefault="00A756A9" w:rsidP="00300479">
      <w:pPr>
        <w:rPr>
          <w:rFonts w:ascii="Palatino Linotype" w:eastAsia="Calibri" w:hAnsi="Palatino Linotype" w:cs="Byington"/>
        </w:rPr>
      </w:pPr>
      <w:r w:rsidRPr="00A756A9">
        <w:rPr>
          <w:rFonts w:ascii="Palatino Linotype" w:eastAsia="Calibri" w:hAnsi="Palatino Linotype" w:cs="Byington"/>
        </w:rPr>
        <w:t xml:space="preserve">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These ranges are combined to produce the long-term expected rate of return by weighting the expected future real rates of return by the target asset allocation percentage and by adding expected </w:t>
      </w:r>
      <w:r w:rsidR="0065690E" w:rsidRPr="00A756A9">
        <w:rPr>
          <w:rFonts w:ascii="Palatino Linotype" w:eastAsia="Calibri" w:hAnsi="Palatino Linotype" w:cs="Byington"/>
        </w:rPr>
        <w:t xml:space="preserve">inflation </w:t>
      </w:r>
      <w:r w:rsidRPr="00A756A9">
        <w:rPr>
          <w:rFonts w:ascii="Palatino Linotype" w:eastAsia="Calibri" w:hAnsi="Palatino Linotype" w:cs="Byington"/>
        </w:rPr>
        <w:t xml:space="preserve">and an adjustment for the effect of rebalancing/diversification. </w:t>
      </w:r>
      <w:r w:rsidR="00300479" w:rsidRPr="00300479">
        <w:rPr>
          <w:rFonts w:ascii="Palatino Linotype" w:eastAsia="Calibri" w:hAnsi="Palatino Linotype" w:cs="Byington"/>
        </w:rPr>
        <w:t>The resulting long-term geometric nominal expected rate of return was 8.72% for 2023. Best estimates of arithmetic real rates of return for each major asset class included in the pension plan’s target asset allocation as of June 30, 2023 are summarized in the following table:</w:t>
      </w:r>
    </w:p>
    <w:p w:rsidR="00A756A9" w:rsidRPr="00A756A9" w:rsidRDefault="00A756A9" w:rsidP="00D16FA8">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w:t>
            </w:r>
            <w:r w:rsidR="00300479">
              <w:rPr>
                <w:rFonts w:ascii="Palatino Linotype" w:hAnsi="Palatino Linotype" w:cs="Byington"/>
              </w:rPr>
              <w:t>2.5</w:t>
            </w:r>
            <w:r w:rsidR="00A756A9" w:rsidRPr="00A756A9">
              <w:rPr>
                <w:rFonts w:ascii="Palatino Linotype" w:hAnsi="Palatino Linotype" w:cs="Byington"/>
              </w:rPr>
              <w:t>%</w:t>
            </w:r>
          </w:p>
        </w:tc>
        <w:tc>
          <w:tcPr>
            <w:tcW w:w="2952" w:type="dxa"/>
            <w:vAlign w:val="center"/>
          </w:tcPr>
          <w:p w:rsidR="00A756A9" w:rsidRPr="00A756A9" w:rsidRDefault="0065690E"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300479">
              <w:rPr>
                <w:rFonts w:ascii="Palatino Linotype" w:hAnsi="Palatino Linotype" w:cs="Byington"/>
              </w:rPr>
              <w:t>55</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300479"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11.5</w:t>
            </w:r>
            <w:r w:rsidR="00A756A9" w:rsidRPr="00A756A9">
              <w:rPr>
                <w:rFonts w:ascii="Palatino Linotype" w:hAnsi="Palatino Linotype" w:cs="Byington"/>
              </w:rPr>
              <w:t>%</w:t>
            </w:r>
          </w:p>
        </w:tc>
        <w:tc>
          <w:tcPr>
            <w:tcW w:w="2952" w:type="dxa"/>
            <w:vAlign w:val="center"/>
          </w:tcPr>
          <w:p w:rsidR="00A756A9" w:rsidRPr="00A756A9" w:rsidRDefault="009D151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w:t>
            </w:r>
            <w:r w:rsidR="00300479">
              <w:rPr>
                <w:rFonts w:ascii="Palatino Linotype" w:hAnsi="Palatino Linotype" w:cs="Byington"/>
              </w:rPr>
              <w:t>01</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300479"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A756A9" w:rsidRPr="00A756A9">
              <w:rPr>
                <w:rFonts w:ascii="Palatino Linotype" w:hAnsi="Palatino Linotype" w:cs="Byington"/>
              </w:rPr>
              <w:t>.0%</w:t>
            </w:r>
          </w:p>
        </w:tc>
        <w:tc>
          <w:tcPr>
            <w:tcW w:w="2952" w:type="dxa"/>
            <w:vAlign w:val="center"/>
          </w:tcPr>
          <w:p w:rsidR="00A756A9" w:rsidRPr="00A756A9" w:rsidRDefault="00300479"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2.20</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300479"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6.0</w:t>
            </w:r>
            <w:r w:rsidR="00A756A9" w:rsidRPr="00A756A9">
              <w:rPr>
                <w:rFonts w:ascii="Palatino Linotype" w:hAnsi="Palatino Linotype" w:cs="Byington"/>
              </w:rPr>
              <w:t>%</w:t>
            </w:r>
          </w:p>
        </w:tc>
        <w:tc>
          <w:tcPr>
            <w:tcW w:w="2952" w:type="dxa"/>
            <w:vAlign w:val="center"/>
          </w:tcPr>
          <w:p w:rsidR="00A756A9" w:rsidRPr="00A756A9" w:rsidRDefault="00164F0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(0</w:t>
            </w:r>
            <w:r w:rsidR="00B15433">
              <w:rPr>
                <w:rFonts w:ascii="Palatino Linotype" w:hAnsi="Palatino Linotype" w:cs="Byington"/>
              </w:rPr>
              <w:t>.</w:t>
            </w:r>
            <w:r w:rsidR="00300479">
              <w:rPr>
                <w:rFonts w:ascii="Palatino Linotype" w:hAnsi="Palatino Linotype" w:cs="Byington"/>
              </w:rPr>
              <w:t>29</w:t>
            </w:r>
            <w:r w:rsidR="00A756A9" w:rsidRPr="00A756A9">
              <w:rPr>
                <w:rFonts w:ascii="Palatino Linotype" w:hAnsi="Palatino Linotype" w:cs="Byington"/>
              </w:rPr>
              <w:t>%</w:t>
            </w:r>
            <w:r>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853B5B">
            <w:pPr>
              <w:autoSpaceDE w:val="0"/>
              <w:autoSpaceDN w:val="0"/>
              <w:adjustRightInd w:val="0"/>
              <w:textAlignment w:val="center"/>
              <w:rPr>
                <w:rFonts w:ascii="Palatino Linotype" w:hAnsi="Palatino Linotype" w:cs="Byington"/>
              </w:rPr>
            </w:pPr>
            <w:r>
              <w:rPr>
                <w:rFonts w:ascii="Palatino Linotype" w:hAnsi="Palatino Linotype" w:cs="Byington"/>
              </w:rPr>
              <w:t xml:space="preserve">Private </w:t>
            </w:r>
            <w:r w:rsidR="00C9027B">
              <w:rPr>
                <w:rFonts w:ascii="Palatino Linotype" w:hAnsi="Palatino Linotype" w:cs="Byington"/>
              </w:rPr>
              <w:t>equity</w:t>
            </w:r>
          </w:p>
        </w:tc>
        <w:tc>
          <w:tcPr>
            <w:tcW w:w="2736" w:type="dxa"/>
            <w:vAlign w:val="center"/>
          </w:tcPr>
          <w:p w:rsidR="00A756A9" w:rsidRPr="00A756A9" w:rsidRDefault="00300479"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37.0</w:t>
            </w:r>
            <w:r w:rsidR="00853A5F">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300479">
              <w:rPr>
                <w:rFonts w:ascii="Palatino Linotype" w:hAnsi="Palatino Linotype" w:cs="Byington"/>
              </w:rPr>
              <w:t>24</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300479"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15</w:t>
            </w:r>
            <w:r w:rsidR="00B15433">
              <w:rPr>
                <w:rFonts w:ascii="Palatino Linotype" w:hAnsi="Palatino Linotype" w:cs="Byington"/>
              </w:rPr>
              <w:t>.0%</w:t>
            </w:r>
          </w:p>
        </w:tc>
        <w:tc>
          <w:tcPr>
            <w:tcW w:w="2952" w:type="dxa"/>
            <w:vAlign w:val="center"/>
          </w:tcPr>
          <w:p w:rsidR="0065690E" w:rsidRPr="00A756A9" w:rsidRDefault="00300479"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4.32</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00E47538">
        <w:rPr>
          <w:rFonts w:ascii="Palatino Linotype" w:eastAsia="Cambria" w:hAnsi="Palatino Linotype"/>
          <w:b/>
          <w:sz w:val="22"/>
          <w:szCs w:val="22"/>
          <w:vertAlign w:val="superscript"/>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w:t>
      </w:r>
      <w:r w:rsidR="00EC4B4D">
        <w:rPr>
          <w:rFonts w:ascii="Palatino Linotype" w:eastAsia="Cambria" w:hAnsi="Palatino Linotype"/>
          <w:i/>
          <w:sz w:val="22"/>
          <w:szCs w:val="22"/>
        </w:rPr>
        <w:t>’s</w:t>
      </w:r>
      <w:r w:rsidRPr="00A756A9">
        <w:rPr>
          <w:rFonts w:ascii="Palatino Linotype" w:eastAsia="Cambria" w:hAnsi="Palatino Linotype"/>
          <w:i/>
          <w:sz w:val="22"/>
          <w:szCs w:val="22"/>
        </w:rPr>
        <w:t xml:space="preserve"> 20</w:t>
      </w:r>
      <w:r w:rsidR="00F86C56">
        <w:rPr>
          <w:rFonts w:ascii="Palatino Linotype" w:eastAsia="Cambria" w:hAnsi="Palatino Linotype"/>
          <w:i/>
          <w:sz w:val="22"/>
          <w:szCs w:val="22"/>
        </w:rPr>
        <w:t>2</w:t>
      </w:r>
      <w:r w:rsidR="00300479">
        <w:rPr>
          <w:rFonts w:ascii="Palatino Linotype" w:eastAsia="Cambria" w:hAnsi="Palatino Linotype"/>
          <w:i/>
          <w:sz w:val="22"/>
          <w:szCs w:val="22"/>
        </w:rPr>
        <w:t>3</w:t>
      </w:r>
      <w:r w:rsidR="000E5EE7">
        <w:rPr>
          <w:rFonts w:ascii="Palatino Linotype" w:eastAsia="Cambria" w:hAnsi="Palatino Linotype"/>
          <w:i/>
          <w:sz w:val="22"/>
          <w:szCs w:val="22"/>
        </w:rPr>
        <w:t xml:space="preserve"> </w:t>
      </w:r>
      <w:r w:rsidR="00D16FA8">
        <w:rPr>
          <w:rFonts w:ascii="Palatino Linotype" w:eastAsia="Cambria" w:hAnsi="Palatino Linotype"/>
          <w:i/>
          <w:sz w:val="22"/>
          <w:szCs w:val="22"/>
        </w:rPr>
        <w:t xml:space="preserve">Annual </w:t>
      </w:r>
      <w:r w:rsidR="00C9027B" w:rsidRPr="00A756A9">
        <w:rPr>
          <w:rFonts w:ascii="Palatino Linotype" w:eastAsia="Cambria" w:hAnsi="Palatino Linotype"/>
          <w:i/>
          <w:sz w:val="22"/>
          <w:szCs w:val="22"/>
        </w:rPr>
        <w:t>C</w:t>
      </w:r>
      <w:r w:rsidR="00C9027B">
        <w:rPr>
          <w:rFonts w:ascii="Palatino Linotype" w:eastAsia="Cambria" w:hAnsi="Palatino Linotype"/>
          <w:i/>
          <w:sz w:val="22"/>
          <w:szCs w:val="22"/>
        </w:rPr>
        <w:t>omprehensive Financial Report</w:t>
      </w:r>
      <w:r w:rsidRPr="00A756A9">
        <w:rPr>
          <w:rFonts w:ascii="Palatino Linotype" w:eastAsia="Cambria" w:hAnsi="Palatino Linotype"/>
          <w:i/>
          <w:sz w:val="22"/>
          <w:szCs w:val="22"/>
        </w:rPr>
        <w:t xml:space="preserve">, page </w:t>
      </w:r>
      <w:r w:rsidR="009D151F">
        <w:rPr>
          <w:rFonts w:ascii="Palatino Linotype" w:eastAsia="Cambria" w:hAnsi="Palatino Linotype"/>
          <w:i/>
          <w:sz w:val="22"/>
          <w:szCs w:val="22"/>
        </w:rPr>
        <w:t>9</w:t>
      </w:r>
      <w:r w:rsidR="00F86C56">
        <w:rPr>
          <w:rFonts w:ascii="Palatino Linotype" w:eastAsia="Cambria" w:hAnsi="Palatino Linotype"/>
          <w:i/>
          <w:sz w:val="22"/>
          <w:szCs w:val="22"/>
        </w:rPr>
        <w:t>9</w:t>
      </w:r>
      <w:r w:rsidRPr="00A756A9">
        <w:rPr>
          <w:rFonts w:ascii="Palatino Linotype" w:eastAsia="Cambria" w:hAnsi="Palatino Linotype"/>
          <w:i/>
          <w:sz w:val="22"/>
          <w:szCs w:val="22"/>
        </w:rPr>
        <w:t>, and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lastRenderedPageBreak/>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w:t>
      </w:r>
      <w:r w:rsidR="00164F0F">
        <w:rPr>
          <w:rFonts w:ascii="Palatino Linotype" w:eastAsiaTheme="minorHAnsi" w:hAnsi="Palatino Linotype" w:cs="Byington"/>
        </w:rPr>
        <w:t>25</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t>fiduciary</w:t>
      </w:r>
      <w:r w:rsidRPr="00A756A9">
        <w:rPr>
          <w:rFonts w:ascii="Palatino Linotype" w:eastAsiaTheme="minorHAnsi" w:hAnsi="Palatino Linotype" w:cs="Byington"/>
        </w:rPr>
        <w:t xml:space="preserve">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 xml:space="preserve">The following presents the </w:t>
      </w:r>
      <w:r w:rsidR="00EC4B4D" w:rsidRPr="00A756A9">
        <w:rPr>
          <w:rFonts w:ascii="Palatino Linotype" w:eastAsiaTheme="minorHAnsi" w:hAnsi="Palatino Linotype" w:cstheme="minorBidi"/>
        </w:rPr>
        <w:t>Employer’s proportionate</w:t>
      </w:r>
      <w:r w:rsidRPr="00A756A9">
        <w:rPr>
          <w:rFonts w:ascii="Palatino Linotype" w:eastAsiaTheme="minorHAnsi" w:hAnsi="Palatino Linotype" w:cstheme="minorBidi"/>
        </w:rPr>
        <w:t xml:space="preserve"> share of the Net Pension Liability using the discount rate of 7.</w:t>
      </w:r>
      <w:r w:rsidR="00164F0F">
        <w:rPr>
          <w:rFonts w:ascii="Palatino Linotype" w:eastAsiaTheme="minorHAnsi" w:hAnsi="Palatino Linotype" w:cstheme="minorBidi"/>
        </w:rPr>
        <w:t>25</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w:t>
      </w:r>
      <w:r w:rsidR="00164F0F">
        <w:rPr>
          <w:rFonts w:ascii="Palatino Linotype" w:eastAsiaTheme="minorHAnsi" w:hAnsi="Palatino Linotype" w:cstheme="minorBidi"/>
        </w:rPr>
        <w:t>25</w:t>
      </w:r>
      <w:r w:rsidRPr="00A756A9">
        <w:rPr>
          <w:rFonts w:ascii="Palatino Linotype" w:eastAsiaTheme="minorHAnsi" w:hAnsi="Palatino Linotype" w:cstheme="minorBidi"/>
        </w:rPr>
        <w:t>%) or one percentage-point higher (8.</w:t>
      </w:r>
      <w:r w:rsidR="00164F0F">
        <w:rPr>
          <w:rFonts w:ascii="Palatino Linotype" w:eastAsiaTheme="minorHAnsi" w:hAnsi="Palatino Linotype" w:cstheme="minorBidi"/>
        </w:rPr>
        <w:t>25</w:t>
      </w:r>
      <w:r w:rsidRPr="00A756A9">
        <w:rPr>
          <w:rFonts w:ascii="Palatino Linotype" w:eastAsiaTheme="minorHAnsi" w:hAnsi="Palatino Linotype" w:cstheme="minorBidi"/>
        </w:rPr>
        <w:t>%) than the current rate:</w:t>
      </w:r>
    </w:p>
    <w:p w:rsidR="00A756A9" w:rsidRDefault="00A756A9" w:rsidP="00A756A9">
      <w:pPr>
        <w:rPr>
          <w:rFonts w:asciiTheme="minorHAnsi" w:eastAsiaTheme="minorHAnsi" w:hAnsiTheme="minorHAnsi" w:cstheme="minorBidi"/>
        </w:rPr>
      </w:pPr>
    </w:p>
    <w:p w:rsidR="009D151F" w:rsidRDefault="009D151F" w:rsidP="00A756A9">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875"/>
        <w:gridCol w:w="1800"/>
        <w:gridCol w:w="2160"/>
        <w:gridCol w:w="1795"/>
      </w:tblGrid>
      <w:tr w:rsidR="00F00B6D" w:rsidTr="001A0732">
        <w:tc>
          <w:tcPr>
            <w:tcW w:w="2875" w:type="dxa"/>
          </w:tcPr>
          <w:p w:rsidR="00F00B6D" w:rsidRDefault="00F00B6D" w:rsidP="00F00B6D">
            <w:pPr>
              <w:jc w:val="center"/>
            </w:pPr>
          </w:p>
        </w:tc>
        <w:tc>
          <w:tcPr>
            <w:tcW w:w="1800" w:type="dxa"/>
          </w:tcPr>
          <w:p w:rsidR="00F00B6D" w:rsidRPr="004F27DE" w:rsidRDefault="00F00B6D" w:rsidP="00F00B6D">
            <w:pPr>
              <w:jc w:val="center"/>
              <w:rPr>
                <w:rFonts w:ascii="Palatino Linotype" w:hAnsi="Palatino Linotype"/>
              </w:rPr>
            </w:pPr>
            <w:r w:rsidRPr="004F27DE">
              <w:rPr>
                <w:rFonts w:ascii="Palatino Linotype" w:hAnsi="Palatino Linotype"/>
              </w:rPr>
              <w:t>1.0% Decrease</w:t>
            </w:r>
          </w:p>
          <w:p w:rsidR="00F00B6D" w:rsidRPr="004F27DE" w:rsidRDefault="00F00B6D" w:rsidP="00F00B6D">
            <w:pPr>
              <w:jc w:val="center"/>
              <w:rPr>
                <w:rFonts w:ascii="Palatino Linotype" w:hAnsi="Palatino Linotype"/>
              </w:rPr>
            </w:pPr>
            <w:r w:rsidRPr="004F27DE">
              <w:rPr>
                <w:rFonts w:ascii="Palatino Linotype" w:hAnsi="Palatino Linotype"/>
              </w:rPr>
              <w:t>(6.</w:t>
            </w:r>
            <w:r w:rsidR="00096209">
              <w:rPr>
                <w:rFonts w:ascii="Palatino Linotype" w:hAnsi="Palatino Linotype"/>
              </w:rPr>
              <w:t>25</w:t>
            </w:r>
            <w:r w:rsidRPr="004F27DE">
              <w:rPr>
                <w:rFonts w:ascii="Palatino Linotype" w:hAnsi="Palatino Linotype"/>
              </w:rPr>
              <w:t>%)</w:t>
            </w:r>
          </w:p>
        </w:tc>
        <w:tc>
          <w:tcPr>
            <w:tcW w:w="2160" w:type="dxa"/>
          </w:tcPr>
          <w:p w:rsidR="00F00B6D" w:rsidRPr="004F27DE" w:rsidRDefault="00F00B6D" w:rsidP="00F00B6D">
            <w:pPr>
              <w:jc w:val="center"/>
              <w:rPr>
                <w:rFonts w:ascii="Palatino Linotype" w:hAnsi="Palatino Linotype"/>
              </w:rPr>
            </w:pPr>
            <w:r w:rsidRPr="004F27DE">
              <w:rPr>
                <w:rFonts w:ascii="Palatino Linotype" w:hAnsi="Palatino Linotype"/>
              </w:rPr>
              <w:t>Current Discount Rate (</w:t>
            </w:r>
            <w:r w:rsidR="00096209">
              <w:rPr>
                <w:rFonts w:ascii="Palatino Linotype" w:hAnsi="Palatino Linotype"/>
              </w:rPr>
              <w:t>7</w:t>
            </w:r>
            <w:r w:rsidRPr="004F27DE">
              <w:rPr>
                <w:rFonts w:ascii="Palatino Linotype" w:hAnsi="Palatino Linotype"/>
              </w:rPr>
              <w:t>.</w:t>
            </w:r>
            <w:r w:rsidR="00096209">
              <w:rPr>
                <w:rFonts w:ascii="Palatino Linotype" w:hAnsi="Palatino Linotype"/>
              </w:rPr>
              <w:t>25</w:t>
            </w:r>
            <w:r w:rsidRPr="004F27DE">
              <w:rPr>
                <w:rFonts w:ascii="Palatino Linotype" w:hAnsi="Palatino Linotype"/>
              </w:rPr>
              <w:t>%)</w:t>
            </w:r>
          </w:p>
        </w:tc>
        <w:tc>
          <w:tcPr>
            <w:tcW w:w="1795" w:type="dxa"/>
          </w:tcPr>
          <w:p w:rsidR="00F00B6D" w:rsidRPr="004F27DE" w:rsidRDefault="00F00B6D" w:rsidP="00F00B6D">
            <w:pPr>
              <w:pStyle w:val="ListParagraph"/>
              <w:numPr>
                <w:ilvl w:val="0"/>
                <w:numId w:val="2"/>
              </w:numPr>
              <w:jc w:val="center"/>
              <w:rPr>
                <w:rFonts w:ascii="Palatino Linotype" w:hAnsi="Palatino Linotype"/>
              </w:rPr>
            </w:pPr>
            <w:r w:rsidRPr="004F27DE">
              <w:rPr>
                <w:rFonts w:ascii="Palatino Linotype" w:hAnsi="Palatino Linotype"/>
              </w:rPr>
              <w:t>% Increase</w:t>
            </w:r>
          </w:p>
          <w:p w:rsidR="00F00B6D" w:rsidRPr="004F27DE" w:rsidRDefault="00F00B6D" w:rsidP="00F00B6D">
            <w:pPr>
              <w:jc w:val="center"/>
              <w:rPr>
                <w:rFonts w:ascii="Palatino Linotype" w:hAnsi="Palatino Linotype"/>
              </w:rPr>
            </w:pPr>
            <w:r w:rsidRPr="004F27DE">
              <w:rPr>
                <w:rFonts w:ascii="Palatino Linotype" w:hAnsi="Palatino Linotype"/>
              </w:rPr>
              <w:t>(</w:t>
            </w:r>
            <w:r w:rsidR="00096209">
              <w:rPr>
                <w:rFonts w:ascii="Palatino Linotype" w:hAnsi="Palatino Linotype"/>
              </w:rPr>
              <w:t>8</w:t>
            </w:r>
            <w:r w:rsidRPr="004F27DE">
              <w:rPr>
                <w:rFonts w:ascii="Palatino Linotype" w:hAnsi="Palatino Linotype"/>
              </w:rPr>
              <w:t>.</w:t>
            </w:r>
            <w:r w:rsidR="00096209">
              <w:rPr>
                <w:rFonts w:ascii="Palatino Linotype" w:hAnsi="Palatino Linotype"/>
              </w:rPr>
              <w:t>25</w:t>
            </w:r>
            <w:r w:rsidRPr="004F27DE">
              <w:rPr>
                <w:rFonts w:ascii="Palatino Linotype" w:hAnsi="Palatino Linotype"/>
              </w:rPr>
              <w:t>%)</w:t>
            </w:r>
          </w:p>
        </w:tc>
      </w:tr>
      <w:tr w:rsidR="00F00B6D" w:rsidTr="001A0732">
        <w:tc>
          <w:tcPr>
            <w:tcW w:w="2875" w:type="dxa"/>
          </w:tcPr>
          <w:p w:rsidR="00F00B6D" w:rsidRDefault="00F00B6D" w:rsidP="00F00B6D">
            <w:r w:rsidRPr="004F27DE">
              <w:rPr>
                <w:rFonts w:ascii="Palatino Linotype" w:hAnsi="Palatino Linotype"/>
              </w:rPr>
              <w:t>Employer’s proportionate share of the net pension liability</w:t>
            </w:r>
          </w:p>
        </w:tc>
        <w:tc>
          <w:tcPr>
            <w:tcW w:w="180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Q]</w:t>
            </w:r>
          </w:p>
        </w:tc>
        <w:tc>
          <w:tcPr>
            <w:tcW w:w="216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w:t>
            </w:r>
          </w:p>
          <w:p w:rsidR="00F00B6D" w:rsidRPr="004F27DE" w:rsidRDefault="00F00B6D" w:rsidP="00F00B6D">
            <w:pPr>
              <w:jc w:val="center"/>
              <w:rPr>
                <w:rFonts w:ascii="Palatino Linotype" w:hAnsi="Palatino Linotype"/>
              </w:rPr>
            </w:pPr>
            <w:r w:rsidRPr="004F27DE">
              <w:rPr>
                <w:rFonts w:ascii="Palatino Linotype" w:hAnsi="Palatino Linotype"/>
              </w:rPr>
              <w:t>Column A]</w:t>
            </w:r>
          </w:p>
        </w:tc>
        <w:tc>
          <w:tcPr>
            <w:tcW w:w="1795"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R]</w:t>
            </w:r>
          </w:p>
        </w:tc>
      </w:tr>
    </w:tbl>
    <w:p w:rsidR="009D151F" w:rsidRPr="00A756A9" w:rsidRDefault="009D151F"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bookmarkStart w:id="12" w:name="_MON_1581248435"/>
      <w:bookmarkStart w:id="13" w:name="_MON_1495540499"/>
      <w:bookmarkEnd w:id="12"/>
      <w:bookmarkEnd w:id="13"/>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w:t>
      </w:r>
      <w:r w:rsidR="00EC4B4D">
        <w:rPr>
          <w:rFonts w:ascii="Palatino Linotype" w:eastAsiaTheme="minorHAnsi" w:hAnsi="Palatino Linotype" w:cstheme="minorBidi"/>
        </w:rPr>
        <w:t>’s</w:t>
      </w:r>
      <w:r w:rsidRPr="00A756A9">
        <w:rPr>
          <w:rFonts w:ascii="Palatino Linotype" w:eastAsiaTheme="minorHAnsi" w:hAnsi="Palatino Linotype" w:cstheme="minorBidi"/>
        </w:rPr>
        <w:t xml:space="preserve"> 20</w:t>
      </w:r>
      <w:r w:rsidR="00030EFF">
        <w:rPr>
          <w:rFonts w:ascii="Palatino Linotype" w:eastAsiaTheme="minorHAnsi" w:hAnsi="Palatino Linotype" w:cstheme="minorBidi"/>
        </w:rPr>
        <w:t>2</w:t>
      </w:r>
      <w:r w:rsidR="00300479">
        <w:rPr>
          <w:rFonts w:ascii="Palatino Linotype" w:eastAsiaTheme="minorHAnsi" w:hAnsi="Palatino Linotype" w:cstheme="minorBidi"/>
        </w:rPr>
        <w:t>3</w:t>
      </w:r>
      <w:r w:rsidR="000E5EE7">
        <w:rPr>
          <w:rFonts w:ascii="Palatino Linotype" w:eastAsiaTheme="minorHAnsi" w:hAnsi="Palatino Linotype" w:cstheme="minorBidi"/>
        </w:rPr>
        <w:t xml:space="preserve"> </w:t>
      </w:r>
      <w:r w:rsidR="00801FF8">
        <w:rPr>
          <w:rFonts w:ascii="Palatino Linotype" w:eastAsiaTheme="minorHAnsi" w:hAnsi="Palatino Linotype" w:cstheme="minorBidi"/>
        </w:rPr>
        <w:t xml:space="preserve">Annual </w:t>
      </w:r>
      <w:r w:rsidRPr="00A756A9">
        <w:rPr>
          <w:rFonts w:ascii="Palatino Linotype" w:eastAsiaTheme="minorHAnsi" w:hAnsi="Palatino Linotype" w:cstheme="minorBidi"/>
        </w:rPr>
        <w:t xml:space="preserve">Comprehensive Financial Report at </w:t>
      </w:r>
      <w:hyperlink r:id="rId9"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300479" w:rsidRDefault="00300479" w:rsidP="00A756A9">
      <w:pPr>
        <w:rPr>
          <w:rFonts w:ascii="Palatino Linotype" w:eastAsiaTheme="minorHAnsi" w:hAnsi="Palatino Linotype" w:cstheme="minorBidi"/>
          <w:b/>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lastRenderedPageBreak/>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rsidSect="006855D6">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yington">
    <w:altName w:val="Sitka Small"/>
    <w:charset w:val="00"/>
    <w:family w:val="auto"/>
    <w:pitch w:val="variable"/>
    <w:sig w:usb0="00000003" w:usb1="00000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853B5B">
          <w:rPr>
            <w:noProof/>
          </w:rPr>
          <w:t>11</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3D4"/>
    <w:multiLevelType w:val="multilevel"/>
    <w:tmpl w:val="A086B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9"/>
    <w:rsid w:val="00027277"/>
    <w:rsid w:val="000275CB"/>
    <w:rsid w:val="00030EFF"/>
    <w:rsid w:val="00032261"/>
    <w:rsid w:val="00096209"/>
    <w:rsid w:val="0009623E"/>
    <w:rsid w:val="000A3CBE"/>
    <w:rsid w:val="000D037D"/>
    <w:rsid w:val="000E5EE7"/>
    <w:rsid w:val="000F2E91"/>
    <w:rsid w:val="00143387"/>
    <w:rsid w:val="00164F0F"/>
    <w:rsid w:val="00170320"/>
    <w:rsid w:val="001A0732"/>
    <w:rsid w:val="001B14DB"/>
    <w:rsid w:val="001E0EB6"/>
    <w:rsid w:val="001E4F19"/>
    <w:rsid w:val="00202D35"/>
    <w:rsid w:val="00244E38"/>
    <w:rsid w:val="0025129B"/>
    <w:rsid w:val="00283FCC"/>
    <w:rsid w:val="002868B9"/>
    <w:rsid w:val="002B0F73"/>
    <w:rsid w:val="002C47C9"/>
    <w:rsid w:val="002E30CA"/>
    <w:rsid w:val="00300479"/>
    <w:rsid w:val="00301E77"/>
    <w:rsid w:val="00385775"/>
    <w:rsid w:val="003B1884"/>
    <w:rsid w:val="003B5692"/>
    <w:rsid w:val="003E4333"/>
    <w:rsid w:val="0043512A"/>
    <w:rsid w:val="00492598"/>
    <w:rsid w:val="004C1128"/>
    <w:rsid w:val="004E2849"/>
    <w:rsid w:val="004E689C"/>
    <w:rsid w:val="004F27DE"/>
    <w:rsid w:val="00506C91"/>
    <w:rsid w:val="00517FD8"/>
    <w:rsid w:val="00535E88"/>
    <w:rsid w:val="00540E05"/>
    <w:rsid w:val="00564051"/>
    <w:rsid w:val="00587682"/>
    <w:rsid w:val="00596715"/>
    <w:rsid w:val="005A04D3"/>
    <w:rsid w:val="005D3F94"/>
    <w:rsid w:val="005E3B0B"/>
    <w:rsid w:val="005F506B"/>
    <w:rsid w:val="00620729"/>
    <w:rsid w:val="00620A5E"/>
    <w:rsid w:val="00626828"/>
    <w:rsid w:val="00652A88"/>
    <w:rsid w:val="006560D8"/>
    <w:rsid w:val="0065690E"/>
    <w:rsid w:val="00661961"/>
    <w:rsid w:val="00664455"/>
    <w:rsid w:val="006649F6"/>
    <w:rsid w:val="006855D6"/>
    <w:rsid w:val="00693A29"/>
    <w:rsid w:val="006C53E7"/>
    <w:rsid w:val="006D654C"/>
    <w:rsid w:val="006D6598"/>
    <w:rsid w:val="0070257A"/>
    <w:rsid w:val="00714E21"/>
    <w:rsid w:val="0072015E"/>
    <w:rsid w:val="007F124C"/>
    <w:rsid w:val="007F4E51"/>
    <w:rsid w:val="007F5821"/>
    <w:rsid w:val="008010D2"/>
    <w:rsid w:val="00801FF8"/>
    <w:rsid w:val="00820180"/>
    <w:rsid w:val="00831E7E"/>
    <w:rsid w:val="00853A5F"/>
    <w:rsid w:val="00853B5B"/>
    <w:rsid w:val="00854FB3"/>
    <w:rsid w:val="00863999"/>
    <w:rsid w:val="0088289B"/>
    <w:rsid w:val="00894A1B"/>
    <w:rsid w:val="00895D54"/>
    <w:rsid w:val="008964EC"/>
    <w:rsid w:val="0092226F"/>
    <w:rsid w:val="0095785D"/>
    <w:rsid w:val="009716FF"/>
    <w:rsid w:val="009773AD"/>
    <w:rsid w:val="009927CD"/>
    <w:rsid w:val="009D151F"/>
    <w:rsid w:val="009D495C"/>
    <w:rsid w:val="00A02126"/>
    <w:rsid w:val="00A26FD1"/>
    <w:rsid w:val="00A3530F"/>
    <w:rsid w:val="00A5498E"/>
    <w:rsid w:val="00A62865"/>
    <w:rsid w:val="00A756A9"/>
    <w:rsid w:val="00A83146"/>
    <w:rsid w:val="00AB7A02"/>
    <w:rsid w:val="00B1470E"/>
    <w:rsid w:val="00B15433"/>
    <w:rsid w:val="00B15F60"/>
    <w:rsid w:val="00B35781"/>
    <w:rsid w:val="00BA20D0"/>
    <w:rsid w:val="00BE7EBF"/>
    <w:rsid w:val="00C22ABB"/>
    <w:rsid w:val="00C33437"/>
    <w:rsid w:val="00C40E7C"/>
    <w:rsid w:val="00C849C9"/>
    <w:rsid w:val="00C9027B"/>
    <w:rsid w:val="00C906A3"/>
    <w:rsid w:val="00C9452E"/>
    <w:rsid w:val="00D13AD4"/>
    <w:rsid w:val="00D16FA8"/>
    <w:rsid w:val="00D42AF9"/>
    <w:rsid w:val="00D4315D"/>
    <w:rsid w:val="00D703BC"/>
    <w:rsid w:val="00D730C8"/>
    <w:rsid w:val="00D8291D"/>
    <w:rsid w:val="00D93A6D"/>
    <w:rsid w:val="00DB7F3B"/>
    <w:rsid w:val="00E42F8E"/>
    <w:rsid w:val="00E47538"/>
    <w:rsid w:val="00EC4B4D"/>
    <w:rsid w:val="00EE1E9B"/>
    <w:rsid w:val="00EE3C67"/>
    <w:rsid w:val="00F00B6D"/>
    <w:rsid w:val="00F07C14"/>
    <w:rsid w:val="00F61A20"/>
    <w:rsid w:val="00F86C56"/>
    <w:rsid w:val="00FB7F89"/>
    <w:rsid w:val="00FC6C4C"/>
    <w:rsid w:val="00FD1A92"/>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3B741"/>
  <w15:docId w15:val="{F4E165A9-2C98-4942-8CB9-6CC3D5D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F00B6D"/>
    <w:pPr>
      <w:ind w:left="720"/>
      <w:contextualSpacing/>
    </w:pPr>
  </w:style>
  <w:style w:type="paragraph" w:customStyle="1" w:styleId="Pa6">
    <w:name w:val="Pa6"/>
    <w:basedOn w:val="Normal"/>
    <w:next w:val="Normal"/>
    <w:uiPriority w:val="99"/>
    <w:rsid w:val="009927CD"/>
    <w:pPr>
      <w:autoSpaceDE w:val="0"/>
      <w:autoSpaceDN w:val="0"/>
      <w:adjustRightInd w:val="0"/>
      <w:spacing w:line="221" w:lineRule="atLeas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EBF7-59FE-46CA-A636-D6C8AD8E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3099</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Jodi Fekete</cp:lastModifiedBy>
  <cp:revision>4</cp:revision>
  <cp:lastPrinted>2018-05-21T17:28:00Z</cp:lastPrinted>
  <dcterms:created xsi:type="dcterms:W3CDTF">2024-02-23T15:52:00Z</dcterms:created>
  <dcterms:modified xsi:type="dcterms:W3CDTF">2024-02-23T21:51:00Z</dcterms:modified>
</cp:coreProperties>
</file>