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A9" w:rsidRDefault="00A756A9" w:rsidP="00A756A9">
      <w:pPr>
        <w:rPr>
          <w:rFonts w:asciiTheme="minorHAnsi" w:eastAsiaTheme="minorHAnsi" w:hAnsiTheme="minorHAnsi" w:cstheme="minorBidi"/>
          <w:sz w:val="28"/>
          <w:szCs w:val="28"/>
        </w:rPr>
      </w:pPr>
      <w:bookmarkStart w:id="0" w:name="_GoBack"/>
      <w:bookmarkEnd w:id="0"/>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9"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201</w:t>
      </w:r>
      <w:r w:rsidR="00A83146">
        <w:rPr>
          <w:rFonts w:ascii="Palatino Linotype" w:eastAsiaTheme="minorHAnsi" w:hAnsi="Palatino Linotype" w:cstheme="minorBidi"/>
          <w:b/>
        </w:rPr>
        <w:t>8</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201</w:t>
      </w:r>
      <w:r w:rsidR="00A83146">
        <w:rPr>
          <w:rFonts w:ascii="Palatino Linotype" w:hAnsi="Palatino Linotype"/>
        </w:rPr>
        <w:t>7</w:t>
      </w:r>
      <w:r w:rsidRPr="006D6598">
        <w:rPr>
          <w:rFonts w:ascii="Palatino Linotype" w:hAnsi="Palatino Linotype"/>
        </w:rPr>
        <w:t xml:space="preserve"> through June 30, 201</w:t>
      </w:r>
      <w:r w:rsidR="00A83146">
        <w:rPr>
          <w:rFonts w:ascii="Palatino Linotype" w:hAnsi="Palatino Linotype"/>
        </w:rPr>
        <w:t>8</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800" w:type="dxa"/>
        <w:tblLayout w:type="fixed"/>
        <w:tblCellMar>
          <w:left w:w="0" w:type="dxa"/>
          <w:right w:w="0" w:type="dxa"/>
        </w:tblCellMar>
        <w:tblLook w:val="0000" w:firstRow="0" w:lastRow="0" w:firstColumn="0" w:lastColumn="0" w:noHBand="0" w:noVBand="0"/>
      </w:tblPr>
      <w:tblGrid>
        <w:gridCol w:w="2002"/>
        <w:gridCol w:w="8798"/>
      </w:tblGrid>
      <w:tr w:rsidR="006C53E7" w:rsidRPr="006C53E7" w:rsidTr="006C53E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6C53E7">
        <w:trPr>
          <w:trHeight w:val="513"/>
        </w:trPr>
        <w:tc>
          <w:tcPr>
            <w:tcW w:w="200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879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6C53E7" w:rsidRDefault="006C53E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800" w:type="dxa"/>
        <w:tblInd w:w="-1068" w:type="dxa"/>
        <w:tblLayout w:type="fixed"/>
        <w:tblCellMar>
          <w:left w:w="0" w:type="dxa"/>
          <w:right w:w="0" w:type="dxa"/>
        </w:tblCellMar>
        <w:tblLook w:val="0000" w:firstRow="0" w:lastRow="0" w:firstColumn="0" w:lastColumn="0" w:noHBand="0" w:noVBand="0"/>
      </w:tblPr>
      <w:tblGrid>
        <w:gridCol w:w="2002"/>
        <w:gridCol w:w="8798"/>
      </w:tblGrid>
      <w:tr w:rsidR="006C53E7" w:rsidRPr="006C53E7" w:rsidTr="006C53E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6C53E7">
        <w:trPr>
          <w:trHeight w:val="513"/>
        </w:trPr>
        <w:tc>
          <w:tcPr>
            <w:tcW w:w="200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879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800" w:type="dxa"/>
        <w:tblInd w:w="-1068" w:type="dxa"/>
        <w:tblLayout w:type="fixed"/>
        <w:tblCellMar>
          <w:left w:w="0" w:type="dxa"/>
          <w:right w:w="0" w:type="dxa"/>
        </w:tblCellMar>
        <w:tblLook w:val="0000" w:firstRow="0" w:lastRow="0" w:firstColumn="0" w:lastColumn="0" w:noHBand="0" w:noVBand="0"/>
      </w:tblPr>
      <w:tblGrid>
        <w:gridCol w:w="2030"/>
        <w:gridCol w:w="8770"/>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lastRenderedPageBreak/>
        <w:t>Plan A</w:t>
      </w:r>
      <w:r w:rsidRPr="00301E77">
        <w:rPr>
          <w:rFonts w:ascii="Byington" w:eastAsiaTheme="minorHAnsi" w:hAnsi="Byington" w:cs="Byington"/>
          <w:color w:val="000000"/>
        </w:rPr>
        <w:t xml:space="preserve"> - Plan A is closed to new entrants.</w:t>
      </w:r>
    </w:p>
    <w:tbl>
      <w:tblPr>
        <w:tblW w:w="10800" w:type="dxa"/>
        <w:tblInd w:w="-1068" w:type="dxa"/>
        <w:tblLayout w:type="fixed"/>
        <w:tblCellMar>
          <w:left w:w="0" w:type="dxa"/>
          <w:right w:w="0" w:type="dxa"/>
        </w:tblCellMar>
        <w:tblLook w:val="0000" w:firstRow="0" w:lastRow="0" w:firstColumn="0" w:lastColumn="0" w:noHBand="0" w:noVBand="0"/>
      </w:tblPr>
      <w:tblGrid>
        <w:gridCol w:w="2030"/>
        <w:gridCol w:w="8770"/>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11948" w:type="dxa"/>
        <w:tblInd w:w="-1068" w:type="dxa"/>
        <w:tblLayout w:type="fixed"/>
        <w:tblCellMar>
          <w:left w:w="0" w:type="dxa"/>
          <w:right w:w="0" w:type="dxa"/>
        </w:tblCellMar>
        <w:tblLook w:val="0000" w:firstRow="0" w:lastRow="0" w:firstColumn="0" w:lastColumn="0" w:noHBand="0" w:noVBand="0"/>
      </w:tblPr>
      <w:tblGrid>
        <w:gridCol w:w="2246"/>
        <w:gridCol w:w="9702"/>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2030"/>
        <w:gridCol w:w="8770"/>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301E77">
        <w:trPr>
          <w:trHeight w:val="513"/>
        </w:trPr>
        <w:tc>
          <w:tcPr>
            <w:tcW w:w="203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877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For all plans, retirement benefits are based on a formula which multiplies the final average compensation by the applicable accrual rate,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Pr="00A756A9"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Payment Options</w:t>
      </w:r>
    </w:p>
    <w:p w:rsidR="0070257A"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A retiring member is entitled to receive the maximum benefit payable until the member’s death.  In lieu of the maximum benefit, the member may elect to receive a reduced benefit payable in the form of a Joint and Survivor Option, or as a lump sum that can’t exceed 36 months of the members’ maximum monthly benefit amount. </w:t>
      </w:r>
    </w:p>
    <w:p w:rsidR="0070257A" w:rsidRDefault="0070257A">
      <w:pPr>
        <w:rPr>
          <w:rFonts w:ascii="Palatino Linotype" w:eastAsiaTheme="minorHAnsi" w:hAnsi="Palatino Linotype" w:cs="Byington"/>
        </w:rPr>
      </w:pPr>
    </w:p>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Upon termination of employment, the member is entitled to the fixed benefit, an additional benefit based on post-DROP service (if any), and the individual DROP account balance which can be paid in a lump sum or 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70257A" w:rsidRDefault="0070257A">
      <w:pPr>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lastRenderedPageBreak/>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accrual rate for all creditable service. When a minor child(ren) is no longer eligible to receive survivor benefits, 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As fully described in Title 11 of the Louisiana Revised Statutes, the System allows for the payment of 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A756A9">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lastRenderedPageBreak/>
        <w:t>The ORP is a defined contribution pension plan which provides for portability of assets and full and immediate vesting of all contributions submitted on behalf of the affected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7F4E51">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201</w:t>
      </w:r>
      <w:r w:rsidR="00A83146">
        <w:rPr>
          <w:rFonts w:ascii="Palatino Linotype" w:eastAsiaTheme="minorHAnsi" w:hAnsi="Palatino Linotype" w:cs="Byington"/>
          <w:color w:val="000000"/>
        </w:rPr>
        <w:t>8</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p w:rsidR="007F4E51" w:rsidRDefault="007F4E51" w:rsidP="007F4E51">
      <w:pPr>
        <w:autoSpaceDE w:val="0"/>
        <w:autoSpaceDN w:val="0"/>
        <w:adjustRightInd w:val="0"/>
        <w:textAlignment w:val="center"/>
        <w:rPr>
          <w:rFonts w:ascii="Palatino Linotype" w:eastAsiaTheme="minorHAnsi" w:hAnsi="Palatino Linotype" w:cs="Byington"/>
          <w:color w:val="000000"/>
        </w:rPr>
      </w:pP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A756A9" w:rsidRDefault="005F506B" w:rsidP="00831E7E">
            <w:pPr>
              <w:autoSpaceDE w:val="0"/>
              <w:autoSpaceDN w:val="0"/>
              <w:adjustRightInd w:val="0"/>
              <w:jc w:val="center"/>
              <w:textAlignment w:val="center"/>
              <w:rPr>
                <w:rFonts w:ascii="Minion Pro" w:eastAsia="Calibri" w:hAnsi="Minion Pro" w:cs="Minion Pro"/>
                <w:color w:val="000000"/>
              </w:rPr>
            </w:pPr>
            <w:r w:rsidRPr="00A756A9">
              <w:rPr>
                <w:rFonts w:ascii="Byington" w:eastAsia="Calibri" w:hAnsi="Byington" w:cs="Byington"/>
                <w:b/>
                <w:bCs/>
                <w:color w:val="000000"/>
              </w:rPr>
              <w:t>201</w:t>
            </w:r>
            <w:r w:rsidR="00831E7E">
              <w:rPr>
                <w:rFonts w:ascii="Byington" w:eastAsia="Calibri" w:hAnsi="Byington" w:cs="Byington"/>
                <w:b/>
                <w:bCs/>
                <w:color w:val="000000"/>
              </w:rPr>
              <w:t>8</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26.6</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25.4</w:t>
            </w:r>
            <w:r w:rsidR="005F506B" w:rsidRPr="00A756A9">
              <w:rPr>
                <w:rFonts w:ascii="Byington" w:eastAsia="Calibri" w:hAnsi="Byington" w:cs="Byington"/>
                <w:color w:val="000000"/>
              </w:rPr>
              <w:t>%</w:t>
            </w:r>
          </w:p>
        </w:tc>
      </w:tr>
      <w:tr w:rsidR="006649F6" w:rsidRPr="00A756A9" w:rsidTr="00596715">
        <w:trPr>
          <w:trHeight w:val="60"/>
          <w:jc w:val="center"/>
        </w:trPr>
        <w:tc>
          <w:tcPr>
            <w:tcW w:w="2889" w:type="dxa"/>
            <w:shd w:val="clear" w:color="auto" w:fill="auto"/>
            <w:tcMar>
              <w:top w:w="80" w:type="dxa"/>
              <w:left w:w="80" w:type="dxa"/>
              <w:bottom w:w="80" w:type="dxa"/>
              <w:right w:w="80" w:type="dxa"/>
            </w:tcMar>
            <w:vAlign w:val="center"/>
          </w:tcPr>
          <w:p w:rsidR="006649F6" w:rsidRPr="00A756A9" w:rsidRDefault="006649F6" w:rsidP="0070257A">
            <w:pPr>
              <w:autoSpaceDE w:val="0"/>
              <w:autoSpaceDN w:val="0"/>
              <w:adjustRightInd w:val="0"/>
              <w:textAlignment w:val="center"/>
              <w:rPr>
                <w:rFonts w:ascii="Byington" w:eastAsia="Calibri" w:hAnsi="Byington" w:cs="Byington"/>
                <w:color w:val="000000"/>
              </w:rPr>
            </w:pPr>
          </w:p>
        </w:tc>
        <w:tc>
          <w:tcPr>
            <w:tcW w:w="3256" w:type="dxa"/>
            <w:shd w:val="clear" w:color="auto" w:fill="auto"/>
            <w:tcMar>
              <w:top w:w="80" w:type="dxa"/>
              <w:left w:w="80" w:type="dxa"/>
              <w:bottom w:w="80" w:type="dxa"/>
              <w:right w:w="80" w:type="dxa"/>
            </w:tcMar>
            <w:vAlign w:val="center"/>
          </w:tcPr>
          <w:p w:rsidR="006649F6" w:rsidRDefault="006649F6" w:rsidP="0070257A">
            <w:pPr>
              <w:autoSpaceDE w:val="0"/>
              <w:autoSpaceDN w:val="0"/>
              <w:adjustRightInd w:val="0"/>
              <w:jc w:val="center"/>
              <w:textAlignment w:val="center"/>
              <w:rPr>
                <w:rFonts w:ascii="Byington" w:eastAsia="Calibri" w:hAnsi="Byington" w:cs="Byington"/>
                <w:color w:val="000000"/>
              </w:rPr>
            </w:pP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596715" w:rsidP="00596715">
            <w:pPr>
              <w:autoSpaceDE w:val="0"/>
              <w:autoSpaceDN w:val="0"/>
              <w:adjustRightInd w:val="0"/>
              <w:jc w:val="center"/>
              <w:textAlignment w:val="center"/>
              <w:rPr>
                <w:rFonts w:ascii="Byington" w:eastAsiaTheme="minorHAnsi" w:hAnsi="Byington" w:cs="Byington"/>
                <w:b/>
                <w:bCs/>
                <w:color w:val="000000"/>
              </w:rPr>
            </w:pPr>
            <w:r w:rsidRPr="00143387">
              <w:rPr>
                <w:rFonts w:ascii="Byington" w:eastAsiaTheme="minorHAnsi" w:hAnsi="Byington" w:cs="Byington"/>
                <w:b/>
                <w:bCs/>
                <w:color w:val="000000"/>
              </w:rPr>
              <w:t>ORP</w:t>
            </w:r>
          </w:p>
        </w:tc>
      </w:tr>
      <w:tr w:rsidR="00596715" w:rsidRPr="00A756A9" w:rsidTr="00596715">
        <w:trPr>
          <w:trHeight w:val="6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201</w:t>
            </w:r>
            <w:r w:rsidR="00853A5F">
              <w:rPr>
                <w:rFonts w:ascii="Byington" w:eastAsiaTheme="minorHAnsi" w:hAnsi="Byington" w:cs="Byington"/>
                <w:color w:val="000000"/>
              </w:rPr>
              <w:t>8</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B15433">
              <w:rPr>
                <w:rFonts w:ascii="Byington" w:eastAsiaTheme="minorHAnsi" w:hAnsi="Byington" w:cs="Minion Pro"/>
                <w:color w:val="000000"/>
              </w:rPr>
              <w:t>2</w:t>
            </w:r>
            <w:r>
              <w:rPr>
                <w:rFonts w:ascii="Byington" w:eastAsiaTheme="minorHAnsi" w:hAnsi="Byington" w:cs="Minion Pro"/>
                <w:color w:val="000000"/>
              </w:rPr>
              <w:t>.2%</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r w:rsidRPr="00A756A9">
        <w:rPr>
          <w:rFonts w:ascii="Palatino Linotype" w:eastAsiaTheme="minorHAnsi" w:hAnsi="Palatino Linotype" w:cstheme="minorBidi"/>
        </w:rPr>
        <w:t>The agency’s contractually required composite contribution rate for the year ended June 30, 201</w:t>
      </w:r>
      <w:r w:rsidR="00A83146">
        <w:rPr>
          <w:rFonts w:ascii="Palatino Linotype" w:eastAsiaTheme="minorHAnsi" w:hAnsi="Palatino Linotype" w:cstheme="minorBidi"/>
        </w:rPr>
        <w:t xml:space="preserve">8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201</w:t>
      </w:r>
      <w:r w:rsidR="00A83146">
        <w:rPr>
          <w:rFonts w:ascii="Palatino Linotype" w:eastAsiaTheme="minorHAnsi" w:hAnsi="Palatino Linotype" w:cstheme="minorBidi"/>
        </w:rPr>
        <w:t>8</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Liabilities,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201</w:t>
      </w:r>
      <w:r w:rsidR="00B15433">
        <w:rPr>
          <w:rFonts w:ascii="Palatino Linotype" w:eastAsia="Cambria" w:hAnsi="Palatino Linotype"/>
        </w:rPr>
        <w:t>8</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201</w:t>
      </w:r>
      <w:r w:rsidR="00B15433">
        <w:rPr>
          <w:rFonts w:ascii="Palatino Linotype" w:eastAsia="Cambria" w:hAnsi="Palatino Linotype"/>
        </w:rPr>
        <w:t>7</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201</w:t>
      </w:r>
      <w:r w:rsidR="00B15433">
        <w:rPr>
          <w:rFonts w:ascii="Palatino Linotype" w:eastAsia="Cambria" w:hAnsi="Palatino Linotype"/>
        </w:rPr>
        <w:t>7</w:t>
      </w:r>
      <w:r w:rsidRPr="00A756A9">
        <w:rPr>
          <w:rFonts w:ascii="Palatino Linotype" w:eastAsia="Cambria" w:hAnsi="Palatino Linotype"/>
        </w:rPr>
        <w:t>, the Agency’s proportion was [</w:t>
      </w:r>
      <w:r w:rsidRPr="00A756A9">
        <w:rPr>
          <w:rFonts w:ascii="Palatino Linotype" w:eastAsia="Cambria" w:hAnsi="Palatino Linotype"/>
          <w:highlight w:val="cyan"/>
        </w:rPr>
        <w:t>Exhibit 2 Column B</w:t>
      </w:r>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7F5821">
        <w:rPr>
          <w:rFonts w:ascii="Palatino Linotype" w:eastAsia="Cambria" w:hAnsi="Palatino Linotype"/>
          <w:highlight w:val="cyan"/>
        </w:rPr>
        <w:t>D</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201</w:t>
      </w:r>
      <w:r w:rsidR="00032261">
        <w:rPr>
          <w:rFonts w:ascii="Palatino Linotype" w:eastAsia="Cambria" w:hAnsi="Palatino Linotype"/>
        </w:rPr>
        <w:t>6</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201</w:t>
      </w:r>
      <w:r w:rsidR="00B15433">
        <w:rPr>
          <w:rFonts w:ascii="Palatino Linotype" w:eastAsia="Cambria" w:hAnsi="Palatino Linotype"/>
        </w:rPr>
        <w:t>8</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7F5821">
        <w:rPr>
          <w:rFonts w:ascii="Palatino Linotype" w:eastAsia="Cambria" w:hAnsi="Palatino Linotype"/>
          <w:color w:val="FF0000"/>
          <w:highlight w:val="cyan"/>
        </w:rPr>
        <w:t>E</w:t>
      </w:r>
      <w:r w:rsidRPr="00A756A9">
        <w:rPr>
          <w:rFonts w:ascii="Palatino Linotype" w:eastAsia="Cambria" w:hAnsi="Palatino Linotype"/>
          <w:color w:val="FF0000"/>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A756A9" w:rsidRPr="00A756A9" w:rsidRDefault="00A756A9" w:rsidP="00A756A9">
      <w:pPr>
        <w:jc w:val="both"/>
        <w:rPr>
          <w:rFonts w:ascii="Palatino Linotype" w:eastAsia="Cambria" w:hAnsi="Palatino Linotype"/>
          <w:color w:val="FF0000"/>
          <w:highlight w:val="cyan"/>
        </w:rPr>
      </w:pPr>
    </w:p>
    <w:p w:rsidR="0070257A" w:rsidRDefault="00A756A9" w:rsidP="00A756A9">
      <w:pPr>
        <w:jc w:val="both"/>
        <w:rPr>
          <w:rFonts w:ascii="Palatino Linotype" w:eastAsia="Cambria" w:hAnsi="Palatino Linotype"/>
        </w:rPr>
      </w:pPr>
      <w:r w:rsidRPr="00A756A9">
        <w:rPr>
          <w:rFonts w:ascii="Palatino Linotype" w:eastAsia="Cambria" w:hAnsi="Palatino Linotype"/>
        </w:rPr>
        <w:t>At June 30, 201</w:t>
      </w:r>
      <w:r w:rsidR="00B15433">
        <w:rPr>
          <w:rFonts w:ascii="Palatino Linotype" w:eastAsia="Cambria" w:hAnsi="Palatino Linotype"/>
        </w:rPr>
        <w:t>8</w:t>
      </w:r>
      <w:r w:rsidRPr="00A756A9">
        <w:rPr>
          <w:rFonts w:ascii="Palatino Linotype" w:eastAsia="Cambria" w:hAnsi="Palatino Linotype"/>
        </w:rPr>
        <w:t>, the Agency reported deferred outflows of resources and deferred inflows of resources related to pensions from the following sources:</w:t>
      </w:r>
    </w:p>
    <w:p w:rsidR="0070257A" w:rsidRDefault="0070257A">
      <w:pPr>
        <w:rPr>
          <w:rFonts w:ascii="Palatino Linotype" w:eastAsia="Cambria" w:hAnsi="Palatino Linotype"/>
        </w:rPr>
      </w:pPr>
    </w:p>
    <w:bookmarkStart w:id="1" w:name="_MON_1554789466"/>
    <w:bookmarkStart w:id="2" w:name="_MON_1486372757"/>
    <w:bookmarkStart w:id="3" w:name="_MON_1528193822"/>
    <w:bookmarkStart w:id="4" w:name="_MON_1528194582"/>
    <w:bookmarkStart w:id="5" w:name="_MON_1496901729"/>
    <w:bookmarkStart w:id="6" w:name="_MON_1552135972"/>
    <w:bookmarkStart w:id="7" w:name="_MON_1588408560"/>
    <w:bookmarkStart w:id="8" w:name="_MON_1588408611"/>
    <w:bookmarkStart w:id="9" w:name="_MON_1528198716"/>
    <w:bookmarkStart w:id="10" w:name="_MON_1552306687"/>
    <w:bookmarkEnd w:id="1"/>
    <w:bookmarkEnd w:id="2"/>
    <w:bookmarkEnd w:id="3"/>
    <w:bookmarkEnd w:id="4"/>
    <w:bookmarkEnd w:id="5"/>
    <w:bookmarkEnd w:id="6"/>
    <w:bookmarkEnd w:id="7"/>
    <w:bookmarkEnd w:id="8"/>
    <w:bookmarkEnd w:id="9"/>
    <w:bookmarkEnd w:id="10"/>
    <w:bookmarkStart w:id="11" w:name="_MON_1496901832"/>
    <w:bookmarkEnd w:id="11"/>
    <w:p w:rsidR="00A756A9" w:rsidRPr="00A756A9" w:rsidRDefault="007F5821" w:rsidP="00A756A9">
      <w:pPr>
        <w:rPr>
          <w:rFonts w:asciiTheme="minorHAnsi" w:eastAsiaTheme="minorHAnsi" w:hAnsiTheme="minorHAnsi" w:cstheme="minorBidi"/>
        </w:rPr>
      </w:pPr>
      <w:r w:rsidRPr="00A756A9">
        <w:rPr>
          <w:rFonts w:ascii="Palatino Linotype" w:eastAsia="Cambria" w:hAnsi="Palatino Linotype"/>
        </w:rPr>
        <w:object w:dxaOrig="10328" w:dyaOrig="5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5pt;height:289.65pt" o:ole="" o:preferrelative="f">
            <v:imagedata r:id="rId10" o:title=""/>
            <o:lock v:ext="edit" aspectratio="f"/>
          </v:shape>
          <o:OLEObject Type="Embed" ProgID="Excel.Sheet.12" ShapeID="_x0000_i1025" DrawAspect="Content" ObjectID="_1588748797" r:id="rId11"/>
        </w:object>
      </w: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201</w:t>
      </w:r>
      <w:r w:rsidR="00B15433">
        <w:rPr>
          <w:rFonts w:ascii="Palatino Linotype" w:eastAsia="Cambria" w:hAnsi="Palatino Linotype"/>
        </w:rPr>
        <w:t>8</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Default="00B15433" w:rsidP="0070257A">
      <w:pPr>
        <w:jc w:val="both"/>
        <w:rPr>
          <w:rFonts w:ascii="Palatino Linotype" w:eastAsia="Cambria" w:hAnsi="Palatino Linotype"/>
        </w:rPr>
      </w:pP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201</w:t>
            </w:r>
            <w:r w:rsidR="00B15433">
              <w:rPr>
                <w:sz w:val="28"/>
                <w:szCs w:val="28"/>
              </w:rPr>
              <w:t>9</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5E3B0B" w:rsidRDefault="00AB7A02" w:rsidP="005E3B0B">
            <w:pPr>
              <w:rPr>
                <w:highlight w:val="red"/>
              </w:rPr>
            </w:pPr>
            <w:r w:rsidRPr="005E3B0B">
              <w:rPr>
                <w:highlight w:val="red"/>
              </w:rPr>
              <w:t xml:space="preserve">Plus </w:t>
            </w:r>
            <w:r w:rsidR="005E3B0B" w:rsidRPr="005E3B0B">
              <w:rPr>
                <w:highlight w:val="red"/>
              </w:rPr>
              <w:t>/Less Amortization of employer specific amounts?</w:t>
            </w:r>
          </w:p>
          <w:p w:rsidR="005E3B0B" w:rsidRPr="00D8291D" w:rsidRDefault="005E3B0B" w:rsidP="005E3B0B">
            <w:pPr>
              <w:rPr>
                <w:sz w:val="28"/>
                <w:szCs w:val="28"/>
                <w:highlight w:val="red"/>
              </w:rPr>
            </w:pPr>
            <w:r w:rsidRPr="005E3B0B">
              <w:rPr>
                <w:highlight w:val="red"/>
              </w:rPr>
              <w:t>(ER/Non-ER contribution differences and Change in 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15433">
              <w:rPr>
                <w:sz w:val="28"/>
                <w:szCs w:val="28"/>
              </w:rPr>
              <w:t>20</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5E3B0B" w:rsidRDefault="005E3B0B" w:rsidP="005E3B0B">
            <w:pPr>
              <w:rPr>
                <w:highlight w:val="red"/>
              </w:rPr>
            </w:pPr>
            <w:r w:rsidRPr="005E3B0B">
              <w:rPr>
                <w:highlight w:val="red"/>
              </w:rPr>
              <w:t>Plus /Less Amortization of employer specific amounts?</w:t>
            </w:r>
          </w:p>
          <w:p w:rsidR="00AB7A02" w:rsidRPr="00D8291D" w:rsidRDefault="005E3B0B" w:rsidP="005E3B0B">
            <w:pPr>
              <w:rPr>
                <w:sz w:val="28"/>
                <w:szCs w:val="28"/>
                <w:highlight w:val="red"/>
              </w:rPr>
            </w:pPr>
            <w:r w:rsidRPr="005E3B0B">
              <w:rPr>
                <w:highlight w:val="red"/>
              </w:rPr>
              <w:t xml:space="preserve">(ER/Non-ER contribution differences and Change in </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B15433">
              <w:rPr>
                <w:sz w:val="28"/>
                <w:szCs w:val="28"/>
              </w:rPr>
              <w:t>1</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5E3B0B" w:rsidRDefault="005E3B0B" w:rsidP="005E3B0B">
            <w:pPr>
              <w:rPr>
                <w:highlight w:val="red"/>
              </w:rPr>
            </w:pPr>
            <w:r w:rsidRPr="005E3B0B">
              <w:rPr>
                <w:highlight w:val="red"/>
              </w:rPr>
              <w:t>Plus /Less Amortization of employer specific amounts?</w:t>
            </w:r>
          </w:p>
          <w:p w:rsidR="00AB7A02" w:rsidRPr="00D8291D" w:rsidRDefault="005E3B0B" w:rsidP="005E3B0B">
            <w:pPr>
              <w:rPr>
                <w:sz w:val="28"/>
                <w:szCs w:val="28"/>
                <w:highlight w:val="red"/>
              </w:rPr>
            </w:pPr>
            <w:r w:rsidRPr="005E3B0B">
              <w:rPr>
                <w:highlight w:val="red"/>
              </w:rPr>
              <w:t xml:space="preserve">(ER/Non-ER contribution differences and Change in </w:t>
            </w:r>
            <w:r w:rsidRPr="005E3B0B">
              <w:rPr>
                <w:highlight w:val="red"/>
              </w:rPr>
              <w:lastRenderedPageBreak/>
              <w:t>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lastRenderedPageBreak/>
              <w:t>202</w:t>
            </w:r>
            <w:r w:rsidR="00B15433">
              <w:rPr>
                <w:sz w:val="28"/>
                <w:szCs w:val="28"/>
              </w:rPr>
              <w:t>2</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5E3B0B" w:rsidRDefault="005E3B0B" w:rsidP="005E3B0B">
            <w:pPr>
              <w:rPr>
                <w:highlight w:val="red"/>
              </w:rPr>
            </w:pPr>
            <w:r w:rsidRPr="005E3B0B">
              <w:rPr>
                <w:highlight w:val="red"/>
              </w:rPr>
              <w:t>Plus /Less Amortization of employer specific amounts?</w:t>
            </w:r>
          </w:p>
          <w:p w:rsidR="00AB7A02" w:rsidRPr="00D8291D" w:rsidRDefault="005E3B0B" w:rsidP="005E3B0B">
            <w:pPr>
              <w:rPr>
                <w:sz w:val="28"/>
                <w:szCs w:val="28"/>
                <w:highlight w:val="red"/>
              </w:rPr>
            </w:pPr>
            <w:r w:rsidRPr="005E3B0B">
              <w:rPr>
                <w:highlight w:val="red"/>
              </w:rPr>
              <w:t>(ER/Non-ER contribution differences and Change in Proportion</w:t>
            </w:r>
          </w:p>
        </w:tc>
      </w:tr>
    </w:tbl>
    <w:p w:rsidR="00587682" w:rsidRPr="005A04D3" w:rsidRDefault="00587682" w:rsidP="00A756A9">
      <w:pPr>
        <w:rPr>
          <w:rFonts w:asciiTheme="minorHAnsi" w:eastAsiaTheme="minorHAnsi" w:hAnsiTheme="minorHAnsi" w:cstheme="minorBidi"/>
          <w:sz w:val="16"/>
          <w:szCs w:val="16"/>
        </w:rPr>
      </w:pPr>
    </w:p>
    <w:p w:rsidR="00587682" w:rsidRDefault="00AB7A02" w:rsidP="00A756A9">
      <w:pPr>
        <w:rPr>
          <w:rFonts w:asciiTheme="minorHAnsi" w:eastAsiaTheme="minorHAnsi" w:hAnsiTheme="minorHAnsi" w:cstheme="minorBidi"/>
        </w:rPr>
      </w:pPr>
      <w:r>
        <w:rPr>
          <w:rFonts w:asciiTheme="minorHAnsi" w:eastAsiaTheme="minorHAnsi" w:hAnsiTheme="minorHAnsi" w:cstheme="minorBidi"/>
        </w:rPr>
        <w:tab/>
      </w: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201</w:t>
      </w:r>
      <w:r w:rsidR="00B15433">
        <w:rPr>
          <w:rFonts w:ascii="Palatino Linotype" w:eastAsia="Cambria" w:hAnsi="Palatino Linotype"/>
        </w:rPr>
        <w:t>7</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Ind w:w="884" w:type="dxa"/>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ExpectedRemaining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7.7</w:t>
            </w:r>
            <w:r w:rsidR="00B15433">
              <w:rPr>
                <w:rFonts w:ascii="Palatino Linotype" w:eastAsia="Cambria" w:hAnsi="Palatino Linotype"/>
                <w:sz w:val="22"/>
                <w:szCs w:val="22"/>
              </w:rPr>
              <w:t>0</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2.5%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3.50%  - 10.0% 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Mortality rates were projected based on the RP-2000 Mortality Table with projection to 2025 using Scale AA.</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Termination, disability, and retirement assumptions were projected based on a five year (2008-2012) experience study of the System’s members.</w:t>
            </w:r>
          </w:p>
        </w:tc>
      </w:tr>
    </w:tbl>
    <w:p w:rsidR="005A04D3" w:rsidRDefault="005A04D3" w:rsidP="00D42AF9">
      <w:pPr>
        <w:jc w:val="both"/>
        <w:rPr>
          <w:rFonts w:ascii="Palatino Linotype" w:eastAsiaTheme="minorHAnsi" w:hAnsi="Palatino Linotype" w:cstheme="minorBidi"/>
        </w:rPr>
      </w:pPr>
    </w:p>
    <w:p w:rsidR="00D42AF9" w:rsidRPr="005A04D3" w:rsidRDefault="005A04D3" w:rsidP="00D42AF9">
      <w:pPr>
        <w:jc w:val="both"/>
        <w:rPr>
          <w:rFonts w:ascii="Palatino Linotype" w:eastAsiaTheme="minorHAnsi" w:hAnsi="Palatino Linotype" w:cstheme="minorBidi"/>
          <w:sz w:val="22"/>
          <w:szCs w:val="22"/>
        </w:rPr>
      </w:pPr>
      <w:r>
        <w:rPr>
          <w:rFonts w:ascii="Palatino Linotype" w:eastAsiaTheme="minorHAnsi" w:hAnsi="Palatino Linotype" w:cstheme="minorBidi"/>
        </w:rPr>
        <w:t>*</w:t>
      </w:r>
      <w:r w:rsidRPr="005A04D3">
        <w:rPr>
          <w:rFonts w:ascii="Palatino Linotype" w:eastAsiaTheme="minorHAnsi" w:hAnsi="Palatino Linotype" w:cstheme="minorBidi"/>
          <w:sz w:val="22"/>
          <w:szCs w:val="22"/>
        </w:rPr>
        <w:t>T</w:t>
      </w:r>
      <w:r w:rsidR="00D42AF9" w:rsidRPr="005A04D3">
        <w:rPr>
          <w:rFonts w:ascii="Palatino Linotype" w:eastAsiaTheme="minorHAnsi" w:hAnsi="Palatino Linotype" w:cstheme="minorBidi"/>
          <w:sz w:val="22"/>
          <w:szCs w:val="22"/>
        </w:rPr>
        <w:t>he investment rate of return used in the actuarial valuation for funding purposes was 8.</w:t>
      </w:r>
      <w:r w:rsidR="00B15433">
        <w:rPr>
          <w:rFonts w:ascii="Palatino Linotype" w:eastAsiaTheme="minorHAnsi" w:hAnsi="Palatino Linotype" w:cstheme="minorBidi"/>
          <w:sz w:val="22"/>
          <w:szCs w:val="22"/>
        </w:rPr>
        <w:t>2</w:t>
      </w:r>
      <w:r w:rsidR="00D42AF9" w:rsidRPr="005A04D3">
        <w:rPr>
          <w:rFonts w:ascii="Palatino Linotype" w:eastAsiaTheme="minorHAnsi" w:hAnsi="Palatino Linotype" w:cstheme="minorBidi"/>
          <w:sz w:val="22"/>
          <w:szCs w:val="22"/>
        </w:rPr>
        <w:t xml:space="preserve">0%, recognizing an additional </w:t>
      </w:r>
      <w:r w:rsidR="00B15433">
        <w:rPr>
          <w:rFonts w:ascii="Palatino Linotype" w:eastAsiaTheme="minorHAnsi" w:hAnsi="Palatino Linotype" w:cstheme="minorBidi"/>
          <w:sz w:val="22"/>
          <w:szCs w:val="22"/>
        </w:rPr>
        <w:t>40</w:t>
      </w:r>
      <w:r w:rsidR="00D42AF9" w:rsidRPr="005A04D3">
        <w:rPr>
          <w:rFonts w:ascii="Palatino Linotype" w:eastAsiaTheme="minorHAnsi" w:hAnsi="Palatino Linotype" w:cstheme="minorBidi"/>
          <w:sz w:val="22"/>
          <w:szCs w:val="22"/>
        </w:rPr>
        <w:t xml:space="preserve"> basis points for the experience account and 10 basis points to offset administrative expenses.</w:t>
      </w:r>
    </w:p>
    <w:p w:rsidR="00D42AF9" w:rsidRPr="005A04D3" w:rsidRDefault="00D42AF9" w:rsidP="00A756A9">
      <w:pPr>
        <w:jc w:val="both"/>
        <w:rPr>
          <w:rFonts w:ascii="Palatino Linotype" w:eastAsia="Cambria" w:hAnsi="Palatino Linotype"/>
          <w:sz w:val="22"/>
          <w:szCs w:val="22"/>
        </w:rPr>
      </w:pP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r w:rsidRPr="00A756A9">
        <w:rPr>
          <w:rFonts w:ascii="Palatino Linotype" w:eastAsia="Calibri" w:hAnsi="Palatino Linotype" w:cs="Byington"/>
        </w:rPr>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w:t>
      </w:r>
      <w:r w:rsidRPr="00A756A9">
        <w:rPr>
          <w:rFonts w:ascii="Palatino Linotype" w:eastAsia="Calibri" w:hAnsi="Palatino Linotype" w:cs="Byington"/>
        </w:rPr>
        <w:lastRenderedPageBreak/>
        <w:t xml:space="preserve">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0065690E">
        <w:rPr>
          <w:rFonts w:ascii="Palatino Linotype" w:eastAsia="Calibri" w:hAnsi="Palatino Linotype" w:cs="Byington"/>
        </w:rPr>
        <w:t xml:space="preserve">of 2.5% </w:t>
      </w:r>
      <w:r w:rsidRPr="00A756A9">
        <w:rPr>
          <w:rFonts w:ascii="Palatino Linotype" w:eastAsia="Calibri" w:hAnsi="Palatino Linotype" w:cs="Byington"/>
        </w:rPr>
        <w:t xml:space="preserve">and an adjustment for the effect of rebalancing/diversification. </w:t>
      </w:r>
      <w:r w:rsidR="0065690E">
        <w:rPr>
          <w:rFonts w:ascii="Palatino Linotype" w:eastAsia="Calibri" w:hAnsi="Palatino Linotype" w:cs="Byington"/>
        </w:rPr>
        <w:t>The resulting expected long-term rate of return was 8.</w:t>
      </w:r>
      <w:r w:rsidR="00B15433">
        <w:rPr>
          <w:rFonts w:ascii="Palatino Linotype" w:eastAsia="Calibri" w:hAnsi="Palatino Linotype" w:cs="Byington"/>
        </w:rPr>
        <w:t>3</w:t>
      </w:r>
      <w:r w:rsidR="0065690E">
        <w:rPr>
          <w:rFonts w:ascii="Palatino Linotype" w:eastAsia="Calibri" w:hAnsi="Palatino Linotype" w:cs="Byington"/>
        </w:rPr>
        <w:t>3% for 201</w:t>
      </w:r>
      <w:r w:rsidR="00B15433">
        <w:rPr>
          <w:rFonts w:ascii="Palatino Linotype" w:eastAsia="Calibri" w:hAnsi="Palatino Linotype" w:cs="Byington"/>
        </w:rPr>
        <w:t>7</w:t>
      </w:r>
      <w:r w:rsidR="0065690E">
        <w:rPr>
          <w:rFonts w:ascii="Palatino Linotype" w:eastAsia="Calibri" w:hAnsi="Palatino Linotype" w:cs="Byington"/>
        </w:rPr>
        <w:t xml:space="preserve">. </w:t>
      </w:r>
      <w:r w:rsidRPr="00A756A9">
        <w:rPr>
          <w:rFonts w:ascii="Palatino Linotype" w:eastAsia="Calibri" w:hAnsi="Palatino Linotype" w:cs="Byington"/>
        </w:rPr>
        <w:t>Best estimates of arithmetic real rates of return for each major asset class included in the pension plan’s target asset allocation as of June 30, 201</w:t>
      </w:r>
      <w:r w:rsidR="00B15433">
        <w:rPr>
          <w:rFonts w:ascii="Palatino Linotype" w:eastAsia="Calibri" w:hAnsi="Palatino Linotype" w:cs="Byington"/>
        </w:rPr>
        <w:t>7</w:t>
      </w:r>
      <w:r w:rsidRPr="00A756A9">
        <w:rPr>
          <w:rFonts w:ascii="Palatino Linotype" w:eastAsia="Calibri" w:hAnsi="Palatino Linotype" w:cs="Byington"/>
        </w:rPr>
        <w:t>, are summarized in the following table:</w:t>
      </w: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B15433">
              <w:rPr>
                <w:rFonts w:ascii="Palatino Linotype" w:hAnsi="Palatino Linotype" w:cs="Byington"/>
              </w:rPr>
              <w:t>28</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4.96</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1.98</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2.75</w:t>
            </w:r>
            <w:r w:rsidR="00A756A9" w:rsidRPr="00A756A9">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Private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8.47</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3.51</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 201</w:t>
      </w:r>
      <w:r w:rsidR="00C9452E">
        <w:rPr>
          <w:rFonts w:ascii="Palatino Linotype" w:eastAsia="Cambria" w:hAnsi="Palatino Linotype"/>
          <w:i/>
          <w:sz w:val="22"/>
          <w:szCs w:val="22"/>
        </w:rPr>
        <w:t>7</w:t>
      </w:r>
      <w:r w:rsidR="000E5EE7">
        <w:rPr>
          <w:rFonts w:ascii="Palatino Linotype" w:eastAsia="Cambria" w:hAnsi="Palatino Linotype"/>
          <w:i/>
          <w:sz w:val="22"/>
          <w:szCs w:val="22"/>
        </w:rPr>
        <w:t xml:space="preserve"> </w:t>
      </w:r>
      <w:r w:rsidRPr="00A756A9">
        <w:rPr>
          <w:rFonts w:ascii="Palatino Linotype" w:eastAsia="Cambria" w:hAnsi="Palatino Linotype"/>
          <w:i/>
          <w:sz w:val="22"/>
          <w:szCs w:val="22"/>
        </w:rPr>
        <w:t xml:space="preserve">CAFR, page </w:t>
      </w:r>
      <w:r w:rsidR="00E47538">
        <w:rPr>
          <w:rFonts w:ascii="Palatino Linotype" w:eastAsia="Cambria" w:hAnsi="Palatino Linotype"/>
          <w:i/>
          <w:sz w:val="22"/>
          <w:szCs w:val="22"/>
        </w:rPr>
        <w:t>6</w:t>
      </w:r>
      <w:r w:rsidR="00C9452E">
        <w:rPr>
          <w:rFonts w:ascii="Palatino Linotype" w:eastAsia="Cambria" w:hAnsi="Palatino Linotype"/>
          <w:i/>
          <w:sz w:val="22"/>
          <w:szCs w:val="22"/>
        </w:rPr>
        <w:t>8</w:t>
      </w:r>
      <w:r w:rsidRPr="00A756A9">
        <w:rPr>
          <w:rFonts w:ascii="Palatino Linotype" w:eastAsia="Cambria" w:hAnsi="Palatino Linotype"/>
          <w:i/>
          <w:sz w:val="22"/>
          <w:szCs w:val="22"/>
        </w:rPr>
        <w:t xml:space="preserve">, and </w:t>
      </w:r>
    </w:p>
    <w:p w:rsidR="00A756A9" w:rsidRPr="00A756A9" w:rsidRDefault="00A756A9" w:rsidP="00A756A9">
      <w:pPr>
        <w:rPr>
          <w:rFonts w:ascii="Palatino Linotype" w:eastAsia="Cambria" w:hAnsi="Palatino Linotype"/>
          <w:i/>
          <w:sz w:val="22"/>
          <w:szCs w:val="22"/>
        </w:rPr>
      </w:pPr>
      <w:r w:rsidRPr="00A756A9">
        <w:rPr>
          <w:rFonts w:ascii="Palatino Linotype" w:eastAsia="Cambria" w:hAnsi="Palatino Linotype"/>
          <w:i/>
          <w:sz w:val="22"/>
          <w:szCs w:val="22"/>
        </w:rPr>
        <w:t xml:space="preserve">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7.7</w:t>
      </w:r>
      <w:r w:rsidR="00C9452E">
        <w:rPr>
          <w:rFonts w:ascii="Palatino Linotype" w:eastAsiaTheme="minorHAnsi" w:hAnsi="Palatino Linotype" w:cs="Byington"/>
        </w:rPr>
        <w:t>0</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payments of current plan members. Therefore, the long-term expected rate of return on pension plan investments was applied </w:t>
      </w:r>
      <w:r w:rsidRPr="00A756A9">
        <w:rPr>
          <w:rFonts w:ascii="Palatino Linotype" w:eastAsiaTheme="minorHAnsi" w:hAnsi="Palatino Linotype" w:cs="Byington"/>
        </w:rPr>
        <w:lastRenderedPageBreak/>
        <w:t>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presents the Employer’s  proportionate share of the Net Pension Liability using the discount rate of 7.7</w:t>
      </w:r>
      <w:r w:rsidR="00C9452E">
        <w:rPr>
          <w:rFonts w:ascii="Palatino Linotype" w:eastAsiaTheme="minorHAnsi" w:hAnsi="Palatino Linotype" w:cstheme="minorBidi"/>
        </w:rPr>
        <w:t>0</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(6.7</w:t>
      </w:r>
      <w:r w:rsidR="00C9452E">
        <w:rPr>
          <w:rFonts w:ascii="Palatino Linotype" w:eastAsiaTheme="minorHAnsi" w:hAnsi="Palatino Linotype" w:cstheme="minorBidi"/>
        </w:rPr>
        <w:t>0</w:t>
      </w:r>
      <w:r w:rsidRPr="00A756A9">
        <w:rPr>
          <w:rFonts w:ascii="Palatino Linotype" w:eastAsiaTheme="minorHAnsi" w:hAnsi="Palatino Linotype" w:cstheme="minorBidi"/>
        </w:rPr>
        <w:t>%) or one percentage-point higher (8.7</w:t>
      </w:r>
      <w:r w:rsidR="00C9452E">
        <w:rPr>
          <w:rFonts w:ascii="Palatino Linotype" w:eastAsiaTheme="minorHAnsi" w:hAnsi="Palatino Linotype" w:cstheme="minorBidi"/>
        </w:rPr>
        <w:t>0</w:t>
      </w:r>
      <w:r w:rsidRPr="00A756A9">
        <w:rPr>
          <w:rFonts w:ascii="Palatino Linotype" w:eastAsiaTheme="minorHAnsi" w:hAnsi="Palatino Linotype" w:cstheme="minorBidi"/>
        </w:rPr>
        <w:t>%) than the current rate: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bookmarkStart w:id="12" w:name="_MON_1486383819"/>
    <w:bookmarkStart w:id="13" w:name="_MON_1581248435"/>
    <w:bookmarkEnd w:id="12"/>
    <w:bookmarkEnd w:id="13"/>
    <w:bookmarkStart w:id="14" w:name="_MON_1495540499"/>
    <w:bookmarkEnd w:id="14"/>
    <w:p w:rsidR="00A756A9" w:rsidRPr="00A756A9" w:rsidRDefault="00C9452E" w:rsidP="00A756A9">
      <w:pPr>
        <w:rPr>
          <w:rFonts w:asciiTheme="minorHAnsi" w:eastAsiaTheme="minorHAnsi" w:hAnsiTheme="minorHAnsi" w:cstheme="minorBidi"/>
        </w:rPr>
      </w:pPr>
      <w:r w:rsidRPr="00A756A9">
        <w:rPr>
          <w:rFonts w:ascii="Palatino Linotype" w:eastAsiaTheme="minorHAnsi" w:hAnsi="Palatino Linotype" w:cstheme="minorBidi"/>
        </w:rPr>
        <w:object w:dxaOrig="9798" w:dyaOrig="1863">
          <v:shape id="_x0000_i1026" type="#_x0000_t75" style="width:475.85pt;height:90.2pt" o:ole="" o:preferrelative="f">
            <v:imagedata r:id="rId12" o:title=""/>
            <o:lock v:ext="edit" aspectratio="f"/>
          </v:shape>
          <o:OLEObject Type="Embed" ProgID="Excel.Sheet.12" ShapeID="_x0000_i1026" DrawAspect="Content" ObjectID="_1588748798" r:id="rId13"/>
        </w:object>
      </w: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 201</w:t>
      </w:r>
      <w:r w:rsidR="00C9452E">
        <w:rPr>
          <w:rFonts w:ascii="Palatino Linotype" w:eastAsiaTheme="minorHAnsi" w:hAnsi="Palatino Linotype" w:cstheme="minorBidi"/>
        </w:rPr>
        <w:t>7</w:t>
      </w:r>
      <w:r w:rsidR="000E5EE7">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Comprehensive Annual Financial Report at </w:t>
      </w:r>
      <w:hyperlink r:id="rId14"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D93A6D" w:rsidRPr="00A756A9"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yington">
    <w:panose1 w:val="02000505080000020003"/>
    <w:charset w:val="00"/>
    <w:family w:val="auto"/>
    <w:pitch w:val="variable"/>
    <w:sig w:usb0="80000027" w:usb1="0000004A" w:usb2="00000000" w:usb3="00000000" w:csb0="00000001" w:csb1="00000000"/>
  </w:font>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2868B9">
          <w:rPr>
            <w:noProof/>
          </w:rPr>
          <w:t>2</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A9"/>
    <w:rsid w:val="00032261"/>
    <w:rsid w:val="000A3CBE"/>
    <w:rsid w:val="000E5EE7"/>
    <w:rsid w:val="00143387"/>
    <w:rsid w:val="00170320"/>
    <w:rsid w:val="001B14DB"/>
    <w:rsid w:val="001E0EB6"/>
    <w:rsid w:val="001E4F19"/>
    <w:rsid w:val="00244E38"/>
    <w:rsid w:val="0025129B"/>
    <w:rsid w:val="00283FCC"/>
    <w:rsid w:val="002868B9"/>
    <w:rsid w:val="002B0F73"/>
    <w:rsid w:val="002C47C9"/>
    <w:rsid w:val="00301E77"/>
    <w:rsid w:val="00385775"/>
    <w:rsid w:val="003B1884"/>
    <w:rsid w:val="003E4333"/>
    <w:rsid w:val="00492598"/>
    <w:rsid w:val="004E2849"/>
    <w:rsid w:val="00587682"/>
    <w:rsid w:val="00596715"/>
    <w:rsid w:val="005A04D3"/>
    <w:rsid w:val="005D3F94"/>
    <w:rsid w:val="005E3B0B"/>
    <w:rsid w:val="005F506B"/>
    <w:rsid w:val="00620A5E"/>
    <w:rsid w:val="00652A88"/>
    <w:rsid w:val="006560D8"/>
    <w:rsid w:val="0065690E"/>
    <w:rsid w:val="00661961"/>
    <w:rsid w:val="00664455"/>
    <w:rsid w:val="006649F6"/>
    <w:rsid w:val="00693A29"/>
    <w:rsid w:val="006C53E7"/>
    <w:rsid w:val="006D6598"/>
    <w:rsid w:val="0070257A"/>
    <w:rsid w:val="007F124C"/>
    <w:rsid w:val="007F4E51"/>
    <w:rsid w:val="007F5821"/>
    <w:rsid w:val="00820180"/>
    <w:rsid w:val="00831E7E"/>
    <w:rsid w:val="00853A5F"/>
    <w:rsid w:val="00863999"/>
    <w:rsid w:val="00894A1B"/>
    <w:rsid w:val="0095785D"/>
    <w:rsid w:val="009773AD"/>
    <w:rsid w:val="00A02126"/>
    <w:rsid w:val="00A26FD1"/>
    <w:rsid w:val="00A5498E"/>
    <w:rsid w:val="00A756A9"/>
    <w:rsid w:val="00A83146"/>
    <w:rsid w:val="00AB7A02"/>
    <w:rsid w:val="00B15433"/>
    <w:rsid w:val="00B35781"/>
    <w:rsid w:val="00BA20D0"/>
    <w:rsid w:val="00BE7EBF"/>
    <w:rsid w:val="00C22ABB"/>
    <w:rsid w:val="00C849C9"/>
    <w:rsid w:val="00C9452E"/>
    <w:rsid w:val="00D42AF9"/>
    <w:rsid w:val="00D4315D"/>
    <w:rsid w:val="00D703BC"/>
    <w:rsid w:val="00D730C8"/>
    <w:rsid w:val="00D8291D"/>
    <w:rsid w:val="00D93A6D"/>
    <w:rsid w:val="00DB7F3B"/>
    <w:rsid w:val="00E47538"/>
    <w:rsid w:val="00F07C14"/>
    <w:rsid w:val="00F61A20"/>
    <w:rsid w:val="00FB7F89"/>
    <w:rsid w:val="00F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gasb.org/jsp/GASB/Page/GASBSectionPage&amp;cid=1176163026371" TargetMode="External"/><Relationship Id="rId14"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741A-999A-48F8-A890-62780BFC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2838</Words>
  <Characters>15667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2</cp:revision>
  <cp:lastPrinted>2018-05-21T17:28:00Z</cp:lastPrinted>
  <dcterms:created xsi:type="dcterms:W3CDTF">2018-05-25T15:20:00Z</dcterms:created>
  <dcterms:modified xsi:type="dcterms:W3CDTF">2018-05-25T15:20:00Z</dcterms:modified>
</cp:coreProperties>
</file>