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10" w:rsidRDefault="00737410" w:rsidP="00737410">
      <w:pPr>
        <w:jc w:val="center"/>
        <w:rPr>
          <w:rFonts w:ascii="Palatino Linotype" w:hAnsi="Palatino Linotype"/>
        </w:rPr>
      </w:pPr>
      <w:bookmarkStart w:id="0" w:name="_GoBack"/>
      <w:bookmarkEnd w:id="0"/>
    </w:p>
    <w:p w:rsidR="00737410" w:rsidRDefault="00737410" w:rsidP="00737410">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Default="00D71D29" w:rsidP="00D71D29">
      <w:pPr>
        <w:jc w:val="both"/>
        <w:rPr>
          <w:rFonts w:ascii="Palatino Linotype" w:hAnsi="Palatino Linotype"/>
          <w:b/>
          <w:i/>
        </w:rPr>
      </w:pPr>
    </w:p>
    <w:p w:rsidR="001A265C" w:rsidRDefault="00D71D29" w:rsidP="001A265C">
      <w:pPr>
        <w:pStyle w:val="ListParagraph"/>
        <w:numPr>
          <w:ilvl w:val="0"/>
          <w:numId w:val="4"/>
        </w:numPr>
        <w:jc w:val="both"/>
        <w:rPr>
          <w:rFonts w:ascii="Palatino Linotype" w:hAnsi="Palatino Linotype"/>
          <w:b/>
          <w:i/>
          <w:sz w:val="22"/>
          <w:szCs w:val="22"/>
        </w:rPr>
      </w:pPr>
      <w:r>
        <w:rPr>
          <w:rFonts w:ascii="Palatino Linotype" w:hAnsi="Palatino Linotype"/>
          <w:b/>
          <w:i/>
          <w:sz w:val="22"/>
          <w:szCs w:val="22"/>
        </w:rPr>
        <w:t xml:space="preserve">Schedule of Employer’s Share of Net Pension Liability -  </w:t>
      </w:r>
      <w:r w:rsidR="001A265C">
        <w:rPr>
          <w:rFonts w:ascii="Palatino Linotype" w:hAnsi="Palatino Linotype"/>
          <w:b/>
          <w:i/>
          <w:sz w:val="22"/>
          <w:szCs w:val="22"/>
        </w:rPr>
        <w:t>Covered Employee Payroll is for measurement periods presented</w:t>
      </w:r>
    </w:p>
    <w:p w:rsidR="00D71D29" w:rsidRPr="00B22008" w:rsidRDefault="00D71D29" w:rsidP="00D71D29">
      <w:pPr>
        <w:ind w:left="1080"/>
        <w:jc w:val="both"/>
        <w:rPr>
          <w:rFonts w:ascii="Palatino Linotype" w:hAnsi="Palatino Linotype"/>
          <w:b/>
          <w:i/>
          <w:sz w:val="22"/>
          <w:szCs w:val="22"/>
        </w:rPr>
      </w:pPr>
    </w:p>
    <w:p w:rsidR="001A265C" w:rsidRPr="00981BD0" w:rsidRDefault="00D71D29" w:rsidP="001A265C">
      <w:pPr>
        <w:pStyle w:val="ListParagraph"/>
        <w:numPr>
          <w:ilvl w:val="0"/>
          <w:numId w:val="4"/>
        </w:numPr>
        <w:jc w:val="both"/>
        <w:rPr>
          <w:rFonts w:ascii="Palatino Linotype" w:hAnsi="Palatino Linotype"/>
          <w:b/>
          <w:i/>
          <w:sz w:val="22"/>
          <w:szCs w:val="22"/>
        </w:rPr>
      </w:pPr>
      <w:r w:rsidRPr="001A265C">
        <w:rPr>
          <w:rFonts w:ascii="Palatino Linotype" w:hAnsi="Palatino Linotype"/>
          <w:b/>
          <w:i/>
          <w:sz w:val="22"/>
          <w:szCs w:val="22"/>
        </w:rPr>
        <w:t xml:space="preserve">Schedule of Employer Contributions  - </w:t>
      </w:r>
      <w:r w:rsidR="001A265C">
        <w:rPr>
          <w:rFonts w:ascii="Palatino Linotype" w:hAnsi="Palatino Linotype"/>
          <w:b/>
          <w:i/>
          <w:sz w:val="22"/>
          <w:szCs w:val="22"/>
        </w:rPr>
        <w:t>Covered Employee Payroll is for the fiscal years presented</w:t>
      </w:r>
    </w:p>
    <w:p w:rsidR="00737410" w:rsidRPr="001A265C" w:rsidRDefault="00737410" w:rsidP="00737410">
      <w:pPr>
        <w:pStyle w:val="ListParagraph"/>
        <w:numPr>
          <w:ilvl w:val="0"/>
          <w:numId w:val="4"/>
        </w:numPr>
        <w:ind w:left="105"/>
        <w:jc w:val="both"/>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D71D29">
        <w:rPr>
          <w:rFonts w:ascii="Palatino Linotype" w:hAnsi="Palatino Linotype"/>
          <w:b/>
          <w:i/>
        </w:rPr>
        <w:t>a member during the full working time as a teacher.</w:t>
      </w:r>
    </w:p>
    <w:p w:rsidR="00737410" w:rsidRDefault="00737410" w:rsidP="00737410">
      <w:pPr>
        <w:rPr>
          <w:rFonts w:ascii="Palatino Linotype" w:hAnsi="Palatino Linotype"/>
          <w:b/>
        </w:rPr>
      </w:pPr>
    </w:p>
    <w:p w:rsidR="00737410" w:rsidRDefault="00737410" w:rsidP="00737410">
      <w:pPr>
        <w:rPr>
          <w:rFonts w:ascii="Palatino Linotype" w:hAnsi="Palatino Linotype"/>
          <w:b/>
        </w:rPr>
      </w:pPr>
    </w:p>
    <w:p w:rsidR="00B543BF" w:rsidRDefault="00B543BF" w:rsidP="00737410">
      <w:pPr>
        <w:rPr>
          <w:rFonts w:ascii="Palatino Linotype" w:hAnsi="Palatino Linotype"/>
          <w:b/>
        </w:rPr>
      </w:pPr>
    </w:p>
    <w:p w:rsidR="00737410" w:rsidRDefault="00737410" w:rsidP="00737410">
      <w:pPr>
        <w:rPr>
          <w:rFonts w:ascii="Palatino Linotype" w:hAnsi="Palatino Linotype"/>
          <w:b/>
        </w:rPr>
      </w:pPr>
    </w:p>
    <w:tbl>
      <w:tblPr>
        <w:tblStyle w:val="TableGrid"/>
        <w:tblpPr w:leftFromText="180" w:rightFromText="180" w:vertAnchor="text" w:horzAnchor="margin" w:tblpXSpec="right" w:tblpY="18"/>
        <w:tblW w:w="3836" w:type="dxa"/>
        <w:tblLook w:val="04A0" w:firstRow="1" w:lastRow="0" w:firstColumn="1" w:lastColumn="0" w:noHBand="0" w:noVBand="1"/>
      </w:tblPr>
      <w:tblGrid>
        <w:gridCol w:w="3836"/>
      </w:tblGrid>
      <w:tr w:rsidR="00737410" w:rsidRPr="00737410" w:rsidTr="001457DE">
        <w:trPr>
          <w:trHeight w:val="247"/>
        </w:trPr>
        <w:tc>
          <w:tcPr>
            <w:tcW w:w="3836" w:type="dxa"/>
            <w:shd w:val="clear" w:color="auto" w:fill="FFFF00"/>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 xml:space="preserve">Denotes Employer Input </w:t>
            </w:r>
          </w:p>
        </w:tc>
      </w:tr>
      <w:tr w:rsidR="00737410" w:rsidRPr="00737410" w:rsidTr="001457DE">
        <w:trPr>
          <w:trHeight w:val="247"/>
        </w:trPr>
        <w:tc>
          <w:tcPr>
            <w:tcW w:w="3836" w:type="dxa"/>
            <w:shd w:val="clear" w:color="auto" w:fill="00FFFF"/>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Denotes Input from GASB 68 Exhibits or directly from TRSL</w:t>
            </w:r>
          </w:p>
        </w:tc>
      </w:tr>
      <w:tr w:rsidR="001457DE" w:rsidRPr="00737410" w:rsidTr="001457DE">
        <w:trPr>
          <w:trHeight w:val="543"/>
        </w:trPr>
        <w:tc>
          <w:tcPr>
            <w:tcW w:w="3836" w:type="dxa"/>
            <w:shd w:val="clear" w:color="auto" w:fill="B2A1C7" w:themeFill="accent4" w:themeFillTint="99"/>
          </w:tcPr>
          <w:p w:rsidR="001457DE" w:rsidRPr="00737410" w:rsidRDefault="001457DE" w:rsidP="00737410">
            <w:pPr>
              <w:tabs>
                <w:tab w:val="center" w:pos="4680"/>
                <w:tab w:val="right" w:pos="9360"/>
              </w:tabs>
              <w:rPr>
                <w:rFonts w:ascii="Palatino Linotype" w:hAnsi="Palatino Linotype"/>
                <w:b/>
                <w:sz w:val="22"/>
                <w:szCs w:val="22"/>
              </w:rPr>
            </w:pPr>
            <w:r>
              <w:rPr>
                <w:rFonts w:ascii="Palatino Linotype" w:hAnsi="Palatino Linotype"/>
                <w:b/>
                <w:sz w:val="22"/>
                <w:szCs w:val="22"/>
              </w:rPr>
              <w:t>Denotes Input from prior year GASB 68 Exhibits or directly from TRSL</w:t>
            </w:r>
          </w:p>
        </w:tc>
      </w:tr>
    </w:tbl>
    <w:p w:rsidR="00737410" w:rsidRDefault="00737410" w:rsidP="00737410">
      <w:pPr>
        <w:rPr>
          <w:rFonts w:ascii="Palatino Linotype" w:hAnsi="Palatino Linotype"/>
          <w:b/>
        </w:rPr>
      </w:pPr>
    </w:p>
    <w:p w:rsidR="00737410" w:rsidRDefault="00737410" w:rsidP="00737410">
      <w:r>
        <w:tab/>
      </w:r>
      <w:r>
        <w:tab/>
      </w:r>
      <w:r>
        <w:tab/>
      </w:r>
      <w:r>
        <w:tab/>
      </w:r>
      <w:r>
        <w:tab/>
      </w:r>
      <w:r>
        <w:tab/>
      </w:r>
      <w:r>
        <w:tab/>
      </w:r>
      <w:r>
        <w:tab/>
      </w:r>
    </w:p>
    <w:p w:rsidR="00737410" w:rsidRDefault="00737410" w:rsidP="00737410"/>
    <w:p w:rsidR="00737410" w:rsidRDefault="00737410" w:rsidP="00737410"/>
    <w:p w:rsidR="00737410" w:rsidRDefault="00737410" w:rsidP="00737410"/>
    <w:p w:rsidR="00737410" w:rsidRDefault="00737410" w:rsidP="00737410"/>
    <w:bookmarkStart w:id="1" w:name="_MON_1552134082"/>
    <w:bookmarkStart w:id="2" w:name="_MON_1552134948"/>
    <w:bookmarkStart w:id="3" w:name="_MON_1552134990"/>
    <w:bookmarkStart w:id="4" w:name="_MON_1552135013"/>
    <w:bookmarkStart w:id="5" w:name="_MON_1552125466"/>
    <w:bookmarkStart w:id="6" w:name="_MON_1554790416"/>
    <w:bookmarkStart w:id="7" w:name="_MON_1552133443"/>
    <w:bookmarkStart w:id="8" w:name="_MON_1552133877"/>
    <w:bookmarkStart w:id="9" w:name="_MON_1581321105"/>
    <w:bookmarkStart w:id="10" w:name="_MON_1581321748"/>
    <w:bookmarkStart w:id="11" w:name="_MON_1552133895"/>
    <w:bookmarkStart w:id="12" w:name="_MON_1552133913"/>
    <w:bookmarkStart w:id="13" w:name="_MON_1552133973"/>
    <w:bookmarkEnd w:id="1"/>
    <w:bookmarkEnd w:id="2"/>
    <w:bookmarkEnd w:id="3"/>
    <w:bookmarkEnd w:id="4"/>
    <w:bookmarkEnd w:id="5"/>
    <w:bookmarkEnd w:id="6"/>
    <w:bookmarkEnd w:id="7"/>
    <w:bookmarkEnd w:id="8"/>
    <w:bookmarkEnd w:id="9"/>
    <w:bookmarkEnd w:id="10"/>
    <w:bookmarkEnd w:id="11"/>
    <w:bookmarkEnd w:id="12"/>
    <w:bookmarkEnd w:id="13"/>
    <w:bookmarkStart w:id="14" w:name="_MON_1552134052"/>
    <w:bookmarkEnd w:id="14"/>
    <w:p w:rsidR="00014406" w:rsidRDefault="00461FAE" w:rsidP="00737410">
      <w:r>
        <w:rPr>
          <w:rFonts w:ascii="Palatino Linotype" w:hAnsi="Palatino Linotype"/>
          <w:b/>
        </w:rPr>
        <w:object w:dxaOrig="8931" w:dyaOrig="7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97.65pt" o:ole="" o:bordertopcolor="this" o:borderleftcolor="this" o:borderbottomcolor="this" o:borderrightcolor="this">
            <v:imagedata r:id="rId9" o:title=""/>
            <w10:bordertop type="single" width="8"/>
            <w10:borderleft type="single" width="8"/>
            <w10:borderbottom type="single" width="8"/>
            <w10:borderright type="single" width="8"/>
          </v:shape>
          <o:OLEObject Type="Embed" ProgID="Excel.Sheet.12" ShapeID="_x0000_i1025" DrawAspect="Content" ObjectID="_1588748758" r:id="rId10"/>
        </w:object>
      </w:r>
    </w:p>
    <w:p w:rsidR="00A84757" w:rsidRDefault="00A84757" w:rsidP="00737410">
      <w:bookmarkStart w:id="15" w:name="_MON_1485937927"/>
      <w:bookmarkStart w:id="16" w:name="_MON_1518521836"/>
      <w:bookmarkStart w:id="17" w:name="_MON_1518521918"/>
      <w:bookmarkStart w:id="18" w:name="_MON_1518521958"/>
      <w:bookmarkStart w:id="19" w:name="_MON_1550666317"/>
      <w:bookmarkStart w:id="20" w:name="_MON_1550666370"/>
      <w:bookmarkStart w:id="21" w:name="_MON_1550666454"/>
      <w:bookmarkStart w:id="22" w:name="_MON_1550666500"/>
      <w:bookmarkStart w:id="23" w:name="_MON_1550666700"/>
      <w:bookmarkStart w:id="24" w:name="_MON_1550666730"/>
      <w:bookmarkStart w:id="25" w:name="_MON_1550666849"/>
      <w:bookmarkStart w:id="26" w:name="_MON_1550667030"/>
      <w:bookmarkStart w:id="27" w:name="_MON_1550667186"/>
      <w:bookmarkEnd w:id="15"/>
      <w:bookmarkEnd w:id="16"/>
      <w:bookmarkEnd w:id="17"/>
      <w:bookmarkEnd w:id="18"/>
      <w:bookmarkEnd w:id="19"/>
      <w:bookmarkEnd w:id="20"/>
      <w:bookmarkEnd w:id="21"/>
      <w:bookmarkEnd w:id="22"/>
      <w:bookmarkEnd w:id="23"/>
      <w:bookmarkEnd w:id="24"/>
      <w:bookmarkEnd w:id="25"/>
      <w:bookmarkEnd w:id="26"/>
      <w:bookmarkEnd w:id="27"/>
    </w:p>
    <w:p w:rsidR="00A84757" w:rsidRDefault="00A84757" w:rsidP="00737410"/>
    <w:p w:rsidR="00737410" w:rsidRPr="00BC39CA" w:rsidRDefault="001F1A96" w:rsidP="00737410">
      <w:pPr>
        <w:rPr>
          <w:rFonts w:ascii="Palatino Linotype" w:hAnsi="Palatino Linotype"/>
          <w:b/>
          <w:i/>
        </w:rPr>
      </w:pPr>
      <w:r>
        <w:rPr>
          <w:rFonts w:ascii="Palatino Linotype" w:hAnsi="Palatino Linotype"/>
          <w:b/>
          <w:i/>
        </w:rPr>
        <w:t>F</w:t>
      </w:r>
      <w:r w:rsidR="00737410" w:rsidRPr="00BC39CA">
        <w:rPr>
          <w:rFonts w:ascii="Palatino Linotype" w:hAnsi="Palatino Linotype"/>
          <w:b/>
          <w:i/>
        </w:rPr>
        <w:t>or reference only:</w:t>
      </w:r>
    </w:p>
    <w:p w:rsidR="00737410" w:rsidRPr="00BC39CA" w:rsidRDefault="00737410" w:rsidP="00737410">
      <w:pPr>
        <w:rPr>
          <w:rFonts w:ascii="Palatino Linotype" w:hAnsi="Palatino Linotype"/>
          <w:i/>
        </w:rPr>
      </w:pPr>
      <w:r w:rsidRPr="00BC39CA">
        <w:rPr>
          <w:rFonts w:ascii="Palatino Linotype" w:hAnsi="Palatino Linotype"/>
          <w:vertAlign w:val="superscript"/>
        </w:rPr>
        <w:t>A</w:t>
      </w:r>
      <w:r w:rsidRPr="00BC39CA">
        <w:rPr>
          <w:rFonts w:ascii="Palatino Linotype" w:hAnsi="Palatino Linotype"/>
          <w:b/>
          <w:i/>
        </w:rPr>
        <w:t xml:space="preserve"> </w:t>
      </w:r>
      <w:r w:rsidR="00D37FE0" w:rsidRPr="005A42B1">
        <w:rPr>
          <w:rFonts w:ascii="Palatino Linotype" w:hAnsi="Palatino Linotype"/>
          <w:i/>
          <w:sz w:val="22"/>
          <w:szCs w:val="22"/>
        </w:rPr>
        <w:t xml:space="preserve">Employer Covered-Employee Payroll as </w:t>
      </w:r>
      <w:r w:rsidR="00D37FE0">
        <w:rPr>
          <w:rFonts w:ascii="Palatino Linotype" w:hAnsi="Palatino Linotype"/>
          <w:i/>
          <w:sz w:val="22"/>
          <w:szCs w:val="22"/>
        </w:rPr>
        <w:t>reported to TRSL during the measurement period</w:t>
      </w:r>
      <w:r w:rsidR="00710289">
        <w:rPr>
          <w:rFonts w:ascii="Palatino Linotype" w:hAnsi="Palatino Linotype"/>
          <w:i/>
          <w:sz w:val="22"/>
          <w:szCs w:val="22"/>
        </w:rPr>
        <w:t>s presented.</w:t>
      </w:r>
      <w:r w:rsidR="00D37FE0">
        <w:rPr>
          <w:rFonts w:ascii="Palatino Linotype" w:hAnsi="Palatino Linotype"/>
          <w:i/>
          <w:sz w:val="22"/>
          <w:szCs w:val="22"/>
        </w:rPr>
        <w:t xml:space="preserve"> </w:t>
      </w:r>
    </w:p>
    <w:p w:rsidR="00737410" w:rsidRDefault="00737410" w:rsidP="00737410">
      <w:pPr>
        <w:rPr>
          <w:rFonts w:ascii="Palatino Linotype" w:hAnsi="Palatino Linotype"/>
          <w:i/>
        </w:rPr>
      </w:pPr>
      <w:r w:rsidRPr="000F217F">
        <w:rPr>
          <w:rFonts w:ascii="Palatino Linotype" w:hAnsi="Palatino Linotype"/>
          <w:vertAlign w:val="superscript"/>
        </w:rPr>
        <w:t>B</w:t>
      </w:r>
      <w:r w:rsidRPr="000F217F">
        <w:rPr>
          <w:rFonts w:ascii="Palatino Linotype" w:hAnsi="Palatino Linotype"/>
          <w:i/>
        </w:rPr>
        <w:t xml:space="preserve"> </w:t>
      </w:r>
      <w:r w:rsidR="00710289" w:rsidRPr="000F217F">
        <w:rPr>
          <w:rFonts w:ascii="Palatino Linotype" w:hAnsi="Palatino Linotype"/>
          <w:i/>
        </w:rPr>
        <w:t xml:space="preserve">Refer to TRSL </w:t>
      </w:r>
      <w:r w:rsidR="00EE4B3A" w:rsidRPr="000F217F">
        <w:rPr>
          <w:rFonts w:ascii="Palatino Linotype" w:hAnsi="Palatino Linotype"/>
          <w:i/>
        </w:rPr>
        <w:t xml:space="preserve">CAFR </w:t>
      </w:r>
      <w:r w:rsidR="00F32F06">
        <w:rPr>
          <w:rFonts w:ascii="Palatino Linotype" w:hAnsi="Palatino Linotype"/>
          <w:i/>
        </w:rPr>
        <w:t xml:space="preserve">Schedule of Employers’ Net Pension Liability </w:t>
      </w:r>
      <w:r w:rsidR="00710289" w:rsidRPr="000F217F">
        <w:rPr>
          <w:rFonts w:ascii="Palatino Linotype" w:hAnsi="Palatino Linotype"/>
          <w:i/>
        </w:rPr>
        <w:t>for the years presented</w:t>
      </w:r>
      <w:r w:rsidR="000F217F" w:rsidRPr="000F217F">
        <w:rPr>
          <w:rFonts w:ascii="Palatino Linotype" w:hAnsi="Palatino Linotype"/>
          <w:i/>
        </w:rPr>
        <w:t>.</w:t>
      </w:r>
    </w:p>
    <w:bookmarkStart w:id="28" w:name="_MON_1552134223"/>
    <w:bookmarkStart w:id="29" w:name="_MON_1550667375"/>
    <w:bookmarkStart w:id="30" w:name="_MON_1550667405"/>
    <w:bookmarkStart w:id="31" w:name="_MON_1529389258"/>
    <w:bookmarkStart w:id="32" w:name="_MON_1581321912"/>
    <w:bookmarkStart w:id="33" w:name="_MON_1550667291"/>
    <w:bookmarkStart w:id="34" w:name="_MON_1552133587"/>
    <w:bookmarkStart w:id="35" w:name="_MON_1552133672"/>
    <w:bookmarkEnd w:id="28"/>
    <w:bookmarkEnd w:id="29"/>
    <w:bookmarkEnd w:id="30"/>
    <w:bookmarkEnd w:id="31"/>
    <w:bookmarkEnd w:id="32"/>
    <w:bookmarkEnd w:id="33"/>
    <w:bookmarkEnd w:id="34"/>
    <w:bookmarkEnd w:id="35"/>
    <w:bookmarkStart w:id="36" w:name="_MON_1552134208"/>
    <w:bookmarkEnd w:id="36"/>
    <w:p w:rsidR="001F1A96" w:rsidRDefault="00461FAE" w:rsidP="00737410">
      <w:pPr>
        <w:rPr>
          <w:rFonts w:ascii="Palatino Linotype" w:hAnsi="Palatino Linotype"/>
          <w:i/>
        </w:rPr>
      </w:pPr>
      <w:r>
        <w:rPr>
          <w:rFonts w:ascii="Palatino Linotype" w:hAnsi="Palatino Linotype"/>
          <w:b/>
        </w:rPr>
        <w:object w:dxaOrig="9219" w:dyaOrig="3940">
          <v:shape id="_x0000_i1026" type="#_x0000_t75" style="width:479.7pt;height:272.1pt" o:ole="" o:bordertopcolor="this" o:borderleftcolor="this" o:borderbottomcolor="this" o:borderrightcolor="this" filled="t" fillcolor="white [3212]">
            <v:fill r:id="rId11" o:title="5%" recolor="t" type="pattern"/>
            <v:imagedata r:id="rId12" o:title=""/>
            <w10:bordertop type="single" width="8"/>
            <w10:borderleft type="single" width="8"/>
            <w10:borderbottom type="single" width="8"/>
            <w10:borderright type="single" width="8"/>
          </v:shape>
          <o:OLEObject Type="Embed" ProgID="Excel.Sheet.12" ShapeID="_x0000_i1026" DrawAspect="Content" ObjectID="_1588748759" r:id="rId13"/>
        </w:object>
      </w:r>
    </w:p>
    <w:p w:rsidR="001F1A96" w:rsidRPr="001F1A96" w:rsidRDefault="001F1A96" w:rsidP="001F1A96">
      <w:pPr>
        <w:rPr>
          <w:rFonts w:ascii="Palatino Linotype" w:hAnsi="Palatino Linotype"/>
          <w:b/>
          <w:i/>
        </w:rPr>
      </w:pPr>
      <w:r w:rsidRPr="001F1A96">
        <w:rPr>
          <w:rFonts w:ascii="Palatino Linotype" w:hAnsi="Palatino Linotype"/>
          <w:b/>
          <w:i/>
        </w:rPr>
        <w:t>For reference only:</w:t>
      </w:r>
    </w:p>
    <w:p w:rsidR="001F1A96" w:rsidRPr="001F1A96" w:rsidRDefault="001F1A96" w:rsidP="001F1A96">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F1A96" w:rsidRPr="001F1A96" w:rsidRDefault="001F1A96" w:rsidP="001F1A96">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F1A96" w:rsidRDefault="001F1A96" w:rsidP="001F1A96">
      <w:pPr>
        <w:rPr>
          <w:rFonts w:ascii="Palatino Linotype" w:hAnsi="Palatino Linotype"/>
          <w:i/>
        </w:rPr>
      </w:pPr>
      <w:r w:rsidRPr="001F1A96">
        <w:rPr>
          <w:rFonts w:ascii="Palatino Linotype" w:hAnsi="Palatino Linotype"/>
          <w:vertAlign w:val="superscript"/>
        </w:rPr>
        <w:t>3</w:t>
      </w:r>
      <w:r w:rsidRPr="001F1A96">
        <w:rPr>
          <w:rFonts w:ascii="Palatino Linotype" w:hAnsi="Palatino Linotype"/>
          <w:i/>
        </w:rPr>
        <w:t xml:space="preserve"> Employer’s covered employee pa</w:t>
      </w:r>
      <w:r w:rsidR="000F217F">
        <w:rPr>
          <w:rFonts w:ascii="Palatino Linotype" w:hAnsi="Palatino Linotype"/>
          <w:i/>
        </w:rPr>
        <w:t>yroll amount for the fiscal years presented.</w:t>
      </w:r>
    </w:p>
    <w:p w:rsidR="001F1A96" w:rsidRDefault="001F1A96" w:rsidP="001F1A96">
      <w:pPr>
        <w:rPr>
          <w:rFonts w:ascii="Palatino Linotype" w:hAnsi="Palatino Linotype"/>
          <w:i/>
        </w:rPr>
      </w:pPr>
    </w:p>
    <w:p w:rsidR="00F32F06" w:rsidRDefault="00F32F06" w:rsidP="001F1A96">
      <w:pPr>
        <w:rPr>
          <w:rFonts w:ascii="Palatino Linotype" w:hAnsi="Palatino Linotype"/>
          <w:i/>
        </w:rPr>
      </w:pPr>
    </w:p>
    <w:p w:rsidR="008E3EF3" w:rsidRDefault="008E3EF3" w:rsidP="008E3EF3">
      <w:pPr>
        <w:jc w:val="center"/>
        <w:rPr>
          <w:rFonts w:ascii="Palatino Linotype" w:hAnsi="Palatino Linotype"/>
          <w:b/>
        </w:rPr>
      </w:pPr>
    </w:p>
    <w:p w:rsidR="008E3EF3" w:rsidRDefault="008E3EF3" w:rsidP="008E3EF3">
      <w:pPr>
        <w:jc w:val="center"/>
        <w:rPr>
          <w:rFonts w:ascii="Palatino Linotype" w:hAnsi="Palatino Linotype"/>
          <w:b/>
        </w:rPr>
      </w:pPr>
      <w:r>
        <w:rPr>
          <w:rFonts w:ascii="Palatino Linotype" w:hAnsi="Palatino Linotype"/>
          <w:b/>
        </w:rPr>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201</w:t>
      </w:r>
      <w:r w:rsidR="009B522B">
        <w:rPr>
          <w:rFonts w:ascii="Palatino Linotype" w:hAnsi="Palatino Linotype"/>
          <w:b/>
        </w:rPr>
        <w:t>8</w:t>
      </w:r>
    </w:p>
    <w:p w:rsidR="008E3EF3" w:rsidRDefault="008E3EF3" w:rsidP="008E3EF3">
      <w:pPr>
        <w:rPr>
          <w:rFonts w:ascii="Palatino Linotype" w:hAnsi="Palatino Linotype"/>
          <w:b/>
        </w:rPr>
      </w:pPr>
    </w:p>
    <w:p w:rsidR="008E3EF3" w:rsidRDefault="008E3EF3" w:rsidP="008E3EF3">
      <w:pPr>
        <w:pStyle w:val="ListParagraph"/>
        <w:ind w:left="360"/>
        <w:jc w:val="both"/>
        <w:rPr>
          <w:rFonts w:ascii="Palatino Linotype" w:hAnsi="Palatino Linotype"/>
          <w:sz w:val="22"/>
          <w:szCs w:val="22"/>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8E3EF3" w:rsidRPr="00D6089F" w:rsidRDefault="00D05D89" w:rsidP="008E3EF3">
      <w:pPr>
        <w:rPr>
          <w:rFonts w:ascii="Palatino Linotype" w:hAnsi="Palatino Linotype"/>
          <w:sz w:val="22"/>
          <w:szCs w:val="22"/>
          <w:highlight w:val="cyan"/>
        </w:rPr>
      </w:pPr>
      <w:r>
        <w:rPr>
          <w:rFonts w:ascii="Palatino Linotype" w:hAnsi="Palatino Linotype"/>
          <w:sz w:val="22"/>
          <w:szCs w:val="22"/>
        </w:rPr>
        <w:t>The discount rate used to measure the total pension liability changed from 7.75% to 7.70%</w:t>
      </w:r>
      <w:r w:rsidR="00EA02B2">
        <w:rPr>
          <w:rFonts w:ascii="Palatino Linotype" w:hAnsi="Palatino Linotype"/>
          <w:sz w:val="22"/>
          <w:szCs w:val="22"/>
        </w:rPr>
        <w:t>.</w:t>
      </w:r>
    </w:p>
    <w:p w:rsidR="00737410" w:rsidRDefault="008E3EF3" w:rsidP="000F217F">
      <w:pPr>
        <w:jc w:val="center"/>
      </w:pPr>
      <w:r w:rsidRPr="00C04911" w:rsidDel="00944258">
        <w:rPr>
          <w:rFonts w:ascii="Palatino Linotype" w:hAnsi="Palatino Linotype"/>
          <w:b/>
          <w:sz w:val="22"/>
          <w:szCs w:val="22"/>
        </w:rPr>
        <w:t xml:space="preserve"> </w:t>
      </w:r>
      <w:bookmarkStart w:id="37" w:name="RANGE!A1:C6"/>
      <w:bookmarkEnd w:id="37"/>
    </w:p>
    <w:sectPr w:rsidR="00737410">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AE" w:rsidRDefault="00461FAE" w:rsidP="00AB7EDD">
      <w:r>
        <w:separator/>
      </w:r>
    </w:p>
  </w:endnote>
  <w:endnote w:type="continuationSeparator" w:id="0">
    <w:p w:rsidR="00461FAE" w:rsidRDefault="00461FAE"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39921"/>
      <w:docPartObj>
        <w:docPartGallery w:val="Page Numbers (Bottom of Page)"/>
        <w:docPartUnique/>
      </w:docPartObj>
    </w:sdtPr>
    <w:sdtEndPr>
      <w:rPr>
        <w:rFonts w:ascii="Palatino Linotype" w:hAnsi="Palatino Linotype"/>
        <w:noProof/>
      </w:rPr>
    </w:sdtEndPr>
    <w:sdtContent>
      <w:p w:rsidR="00461FAE" w:rsidRPr="00757AF6" w:rsidRDefault="00461FAE">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C067C1">
          <w:rPr>
            <w:rFonts w:ascii="Palatino Linotype" w:hAnsi="Palatino Linotype"/>
            <w:noProof/>
          </w:rPr>
          <w:t>2</w:t>
        </w:r>
        <w:r w:rsidRPr="00757AF6">
          <w:rPr>
            <w:rFonts w:ascii="Palatino Linotype" w:hAnsi="Palatino Linotype"/>
            <w:noProof/>
          </w:rPr>
          <w:fldChar w:fldCharType="end"/>
        </w:r>
      </w:p>
    </w:sdtContent>
  </w:sdt>
  <w:p w:rsidR="00461FAE" w:rsidRDefault="00461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AE" w:rsidRDefault="00461FAE" w:rsidP="00AB7EDD">
      <w:r>
        <w:separator/>
      </w:r>
    </w:p>
  </w:footnote>
  <w:footnote w:type="continuationSeparator" w:id="0">
    <w:p w:rsidR="00461FAE" w:rsidRDefault="00461FAE" w:rsidP="00AB7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944C3"/>
    <w:multiLevelType w:val="hybridMultilevel"/>
    <w:tmpl w:val="6E1E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10"/>
    <w:rsid w:val="0001115B"/>
    <w:rsid w:val="00014406"/>
    <w:rsid w:val="00081968"/>
    <w:rsid w:val="000F14E0"/>
    <w:rsid w:val="000F217F"/>
    <w:rsid w:val="000F48CF"/>
    <w:rsid w:val="00140839"/>
    <w:rsid w:val="001457DE"/>
    <w:rsid w:val="00170320"/>
    <w:rsid w:val="001A265C"/>
    <w:rsid w:val="001B43A6"/>
    <w:rsid w:val="001F1A96"/>
    <w:rsid w:val="00212306"/>
    <w:rsid w:val="00260A1C"/>
    <w:rsid w:val="002D3A2F"/>
    <w:rsid w:val="00330F60"/>
    <w:rsid w:val="003567C4"/>
    <w:rsid w:val="00450DFE"/>
    <w:rsid w:val="00461FAE"/>
    <w:rsid w:val="004E5DC6"/>
    <w:rsid w:val="00537D9D"/>
    <w:rsid w:val="005701DF"/>
    <w:rsid w:val="00645877"/>
    <w:rsid w:val="00677D8F"/>
    <w:rsid w:val="006F06FC"/>
    <w:rsid w:val="00710289"/>
    <w:rsid w:val="00737410"/>
    <w:rsid w:val="00757AF6"/>
    <w:rsid w:val="008152A3"/>
    <w:rsid w:val="008A3CB4"/>
    <w:rsid w:val="008E3EF3"/>
    <w:rsid w:val="00921F9C"/>
    <w:rsid w:val="0094073E"/>
    <w:rsid w:val="0094494B"/>
    <w:rsid w:val="0098143B"/>
    <w:rsid w:val="009B522B"/>
    <w:rsid w:val="009E5F83"/>
    <w:rsid w:val="00A84757"/>
    <w:rsid w:val="00AB1A75"/>
    <w:rsid w:val="00AB7EDD"/>
    <w:rsid w:val="00AE1A39"/>
    <w:rsid w:val="00B543BF"/>
    <w:rsid w:val="00B94B41"/>
    <w:rsid w:val="00BC03D3"/>
    <w:rsid w:val="00C067C1"/>
    <w:rsid w:val="00C82C8E"/>
    <w:rsid w:val="00D05D89"/>
    <w:rsid w:val="00D37FE0"/>
    <w:rsid w:val="00D51334"/>
    <w:rsid w:val="00D71D29"/>
    <w:rsid w:val="00D74DA7"/>
    <w:rsid w:val="00D94E43"/>
    <w:rsid w:val="00DC7BF2"/>
    <w:rsid w:val="00EA02B2"/>
    <w:rsid w:val="00EB4BBC"/>
    <w:rsid w:val="00ED58CD"/>
    <w:rsid w:val="00ED6C5F"/>
    <w:rsid w:val="00EE4B3A"/>
    <w:rsid w:val="00F32F06"/>
    <w:rsid w:val="00F54482"/>
    <w:rsid w:val="00F61A20"/>
    <w:rsid w:val="00FC248A"/>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B8A2-9543-41F7-9A94-8CF5F384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Raven Duncil</cp:lastModifiedBy>
  <cp:revision>2</cp:revision>
  <cp:lastPrinted>2017-03-09T19:04:00Z</cp:lastPrinted>
  <dcterms:created xsi:type="dcterms:W3CDTF">2018-05-25T15:19:00Z</dcterms:created>
  <dcterms:modified xsi:type="dcterms:W3CDTF">2018-05-25T15:19:00Z</dcterms:modified>
</cp:coreProperties>
</file>